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7F24" w14:textId="77777777" w:rsidR="006F29A4" w:rsidRPr="003072BB" w:rsidRDefault="006F29A4" w:rsidP="006F29A4">
      <w:pPr>
        <w:autoSpaceDE w:val="0"/>
        <w:autoSpaceDN w:val="0"/>
        <w:adjustRightInd w:val="0"/>
        <w:jc w:val="center"/>
        <w:rPr>
          <w:b/>
          <w:sz w:val="22"/>
          <w:szCs w:val="22"/>
          <w:lang w:val="en-GB"/>
        </w:rPr>
      </w:pPr>
      <w:r w:rsidRPr="003072BB">
        <w:rPr>
          <w:b/>
          <w:sz w:val="22"/>
          <w:szCs w:val="22"/>
          <w:lang w:val="en-GB"/>
        </w:rPr>
        <w:t xml:space="preserve">Special power of attorney </w:t>
      </w:r>
    </w:p>
    <w:p w14:paraId="235670FB" w14:textId="77777777" w:rsidR="006F29A4" w:rsidRPr="003072BB" w:rsidRDefault="006F29A4" w:rsidP="006F29A4">
      <w:pPr>
        <w:autoSpaceDE w:val="0"/>
        <w:autoSpaceDN w:val="0"/>
        <w:adjustRightInd w:val="0"/>
        <w:jc w:val="center"/>
        <w:rPr>
          <w:sz w:val="22"/>
          <w:szCs w:val="22"/>
          <w:lang w:val="en-GB"/>
        </w:rPr>
      </w:pPr>
      <w:r w:rsidRPr="003072BB">
        <w:rPr>
          <w:b/>
          <w:sz w:val="22"/>
          <w:szCs w:val="22"/>
          <w:lang w:val="en-GB"/>
        </w:rPr>
        <w:t>for individual shareholders</w:t>
      </w:r>
    </w:p>
    <w:p w14:paraId="46391796" w14:textId="77777777" w:rsidR="006F29A4" w:rsidRPr="003072BB" w:rsidRDefault="006F29A4" w:rsidP="006F29A4">
      <w:pPr>
        <w:autoSpaceDE w:val="0"/>
        <w:autoSpaceDN w:val="0"/>
        <w:adjustRightInd w:val="0"/>
        <w:jc w:val="center"/>
        <w:rPr>
          <w:sz w:val="22"/>
          <w:szCs w:val="22"/>
          <w:lang w:val="en-GB"/>
        </w:rPr>
      </w:pPr>
      <w:r w:rsidRPr="003072BB">
        <w:rPr>
          <w:sz w:val="22"/>
          <w:szCs w:val="22"/>
          <w:lang w:val="en-GB"/>
        </w:rPr>
        <w:t>for the Ordinary General Meeting of Shareholders (OGMS) of</w:t>
      </w:r>
    </w:p>
    <w:p w14:paraId="174ABD7F" w14:textId="77777777" w:rsidR="006F29A4" w:rsidRPr="003072BB" w:rsidRDefault="006F29A4" w:rsidP="006F29A4">
      <w:pPr>
        <w:autoSpaceDE w:val="0"/>
        <w:autoSpaceDN w:val="0"/>
        <w:adjustRightInd w:val="0"/>
        <w:jc w:val="center"/>
        <w:rPr>
          <w:sz w:val="22"/>
          <w:szCs w:val="22"/>
          <w:lang w:val="en-GB"/>
        </w:rPr>
      </w:pPr>
      <w:r w:rsidRPr="003072BB">
        <w:rPr>
          <w:sz w:val="22"/>
          <w:szCs w:val="22"/>
          <w:lang w:val="en-GB"/>
        </w:rPr>
        <w:t xml:space="preserve">Fondul Proprietatea S.A. </w:t>
      </w:r>
    </w:p>
    <w:p w14:paraId="2954691C" w14:textId="63E0E9AE" w:rsidR="006F29A4" w:rsidRPr="003072BB" w:rsidRDefault="006F29A4" w:rsidP="006F29A4">
      <w:pPr>
        <w:jc w:val="center"/>
        <w:rPr>
          <w:sz w:val="22"/>
          <w:szCs w:val="22"/>
          <w:lang w:val="en-GB"/>
        </w:rPr>
      </w:pPr>
      <w:r w:rsidRPr="003072BB">
        <w:rPr>
          <w:sz w:val="22"/>
          <w:szCs w:val="22"/>
          <w:lang w:val="en-GB"/>
        </w:rPr>
        <w:t xml:space="preserve">of </w:t>
      </w:r>
      <w:r w:rsidR="00A14D0D">
        <w:rPr>
          <w:sz w:val="22"/>
          <w:szCs w:val="22"/>
          <w:lang w:val="en-GB"/>
        </w:rPr>
        <w:t>20 April 2022</w:t>
      </w:r>
    </w:p>
    <w:p w14:paraId="36771AED" w14:textId="77777777" w:rsidR="008753C1" w:rsidRPr="003072BB" w:rsidRDefault="008753C1" w:rsidP="008753C1">
      <w:pPr>
        <w:pStyle w:val="ListParagraph"/>
        <w:numPr>
          <w:ilvl w:val="0"/>
          <w:numId w:val="7"/>
        </w:numPr>
        <w:autoSpaceDE w:val="0"/>
        <w:autoSpaceDN w:val="0"/>
        <w:adjustRightInd w:val="0"/>
        <w:jc w:val="center"/>
        <w:rPr>
          <w:sz w:val="22"/>
          <w:szCs w:val="22"/>
          <w:lang w:val="en-GB"/>
        </w:rPr>
      </w:pPr>
      <w:r w:rsidRPr="003072BB">
        <w:rPr>
          <w:i/>
          <w:sz w:val="22"/>
          <w:szCs w:val="22"/>
          <w:lang w:val="en-GB"/>
        </w:rPr>
        <w:t>Indicative sample</w:t>
      </w:r>
      <w:r w:rsidRPr="003072BB">
        <w:rPr>
          <w:sz w:val="22"/>
          <w:szCs w:val="22"/>
          <w:lang w:val="en-GB"/>
        </w:rPr>
        <w:t xml:space="preserve"> - </w:t>
      </w:r>
    </w:p>
    <w:p w14:paraId="3245AFD4" w14:textId="77777777" w:rsidR="008753C1" w:rsidRPr="003072BB" w:rsidRDefault="008753C1" w:rsidP="006F29A4">
      <w:pPr>
        <w:jc w:val="center"/>
        <w:rPr>
          <w:sz w:val="22"/>
          <w:szCs w:val="22"/>
          <w:lang w:val="en-GB"/>
        </w:rPr>
      </w:pPr>
    </w:p>
    <w:p w14:paraId="22B7A6D6"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I, the undersigned, [________________________________],</w:t>
      </w:r>
    </w:p>
    <w:p w14:paraId="520E14BD"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and last name of the individual shareholder)</w:t>
      </w:r>
    </w:p>
    <w:p w14:paraId="013E7500" w14:textId="77777777" w:rsidR="006F29A4" w:rsidRPr="003072BB" w:rsidRDefault="006F29A4" w:rsidP="006F29A4">
      <w:pPr>
        <w:autoSpaceDE w:val="0"/>
        <w:autoSpaceDN w:val="0"/>
        <w:adjustRightInd w:val="0"/>
        <w:jc w:val="both"/>
        <w:rPr>
          <w:sz w:val="22"/>
          <w:szCs w:val="22"/>
          <w:lang w:val="en-GB"/>
        </w:rPr>
      </w:pPr>
    </w:p>
    <w:p w14:paraId="541B2869"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30EA32D1" w14:textId="77777777" w:rsidR="006F29A4" w:rsidRPr="003072BB" w:rsidRDefault="006F29A4" w:rsidP="006F29A4">
      <w:pPr>
        <w:autoSpaceDE w:val="0"/>
        <w:autoSpaceDN w:val="0"/>
        <w:adjustRightInd w:val="0"/>
        <w:jc w:val="both"/>
        <w:rPr>
          <w:sz w:val="22"/>
          <w:szCs w:val="22"/>
          <w:lang w:val="en-GB"/>
        </w:rPr>
      </w:pPr>
    </w:p>
    <w:p w14:paraId="23AC45BB" w14:textId="7953008B" w:rsidR="006F29A4" w:rsidRPr="003072BB" w:rsidRDefault="006F29A4" w:rsidP="006F29A4">
      <w:pPr>
        <w:autoSpaceDE w:val="0"/>
        <w:autoSpaceDN w:val="0"/>
        <w:adjustRightInd w:val="0"/>
        <w:jc w:val="both"/>
        <w:rPr>
          <w:sz w:val="22"/>
          <w:szCs w:val="22"/>
          <w:lang w:val="en-GB"/>
        </w:rPr>
      </w:pPr>
      <w:r w:rsidRPr="003072BB">
        <w:rPr>
          <w:sz w:val="22"/>
          <w:szCs w:val="22"/>
          <w:lang w:val="en-GB"/>
        </w:rPr>
        <w:t>holding a number of [__________________] shares representing [___] % from a total of [__________________] shares issued by FONDUL PROPRIETATEA S.A., registered with the Bucharest Trade Registry under no. J40/21901/28.12.2005, having sole registration code 18253260, headquartered in Buzeşti Street 7</w:t>
      </w:r>
      <w:r w:rsidR="00EA5812">
        <w:rPr>
          <w:sz w:val="22"/>
          <w:szCs w:val="22"/>
          <w:lang w:val="en-GB"/>
        </w:rPr>
        <w:t>6</w:t>
      </w:r>
      <w:r w:rsidRPr="003072BB">
        <w:rPr>
          <w:sz w:val="22"/>
          <w:szCs w:val="22"/>
          <w:lang w:val="en-GB"/>
        </w:rPr>
        <w:t>-80, 7</w:t>
      </w:r>
      <w:r w:rsidRPr="003072BB">
        <w:rPr>
          <w:sz w:val="22"/>
          <w:szCs w:val="22"/>
          <w:vertAlign w:val="superscript"/>
          <w:lang w:val="en-GB"/>
        </w:rPr>
        <w:t>th</w:t>
      </w:r>
      <w:r w:rsidRPr="003072BB">
        <w:rPr>
          <w:sz w:val="22"/>
          <w:szCs w:val="22"/>
          <w:lang w:val="en-GB"/>
        </w:rPr>
        <w:t xml:space="preserve"> floor, 1st District, Bucharest 011017, Romania (the </w:t>
      </w:r>
      <w:r w:rsidRPr="003072BB">
        <w:rPr>
          <w:b/>
          <w:sz w:val="22"/>
          <w:szCs w:val="22"/>
          <w:lang w:val="en-GB"/>
        </w:rPr>
        <w:t>Company</w:t>
      </w:r>
      <w:r w:rsidRPr="003072BB">
        <w:rPr>
          <w:sz w:val="22"/>
          <w:szCs w:val="22"/>
          <w:lang w:val="en-GB"/>
        </w:rPr>
        <w:t xml:space="preserve">), </w:t>
      </w:r>
    </w:p>
    <w:p w14:paraId="22FBED8E" w14:textId="77777777" w:rsidR="006F29A4" w:rsidRPr="003072BB" w:rsidRDefault="006F29A4" w:rsidP="006F29A4">
      <w:pPr>
        <w:autoSpaceDE w:val="0"/>
        <w:autoSpaceDN w:val="0"/>
        <w:adjustRightInd w:val="0"/>
        <w:jc w:val="both"/>
        <w:rPr>
          <w:sz w:val="22"/>
          <w:szCs w:val="22"/>
          <w:lang w:val="en-GB"/>
        </w:rPr>
      </w:pPr>
    </w:p>
    <w:p w14:paraId="35D5132A"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which entitles me to a number of [____] voting rights, representing [____] % of the paid-up share capital and [____]% of the total voting rights in OGMS,</w:t>
      </w:r>
    </w:p>
    <w:p w14:paraId="4A4CFD09" w14:textId="77777777" w:rsidR="006F29A4" w:rsidRPr="003072BB" w:rsidRDefault="006F29A4" w:rsidP="006F29A4">
      <w:pPr>
        <w:autoSpaceDE w:val="0"/>
        <w:autoSpaceDN w:val="0"/>
        <w:adjustRightInd w:val="0"/>
        <w:jc w:val="both"/>
        <w:rPr>
          <w:sz w:val="22"/>
          <w:szCs w:val="22"/>
          <w:lang w:val="en-GB"/>
        </w:rPr>
      </w:pPr>
    </w:p>
    <w:p w14:paraId="7C9F5D7A"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hereby empower: </w:t>
      </w:r>
    </w:p>
    <w:p w14:paraId="08D20756" w14:textId="77777777" w:rsidR="006F29A4" w:rsidRPr="003072BB" w:rsidRDefault="006F29A4" w:rsidP="006F29A4">
      <w:pPr>
        <w:autoSpaceDE w:val="0"/>
        <w:autoSpaceDN w:val="0"/>
        <w:adjustRightInd w:val="0"/>
        <w:jc w:val="both"/>
        <w:rPr>
          <w:sz w:val="22"/>
          <w:szCs w:val="22"/>
          <w:lang w:val="en-GB"/>
        </w:rPr>
      </w:pPr>
    </w:p>
    <w:p w14:paraId="7C702503"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[________________________________],</w:t>
      </w:r>
    </w:p>
    <w:p w14:paraId="072611AF" w14:textId="77777777" w:rsidR="006F29A4" w:rsidRPr="003072BB" w:rsidRDefault="006F29A4" w:rsidP="006F29A4">
      <w:pPr>
        <w:autoSpaceDE w:val="0"/>
        <w:autoSpaceDN w:val="0"/>
        <w:adjustRightInd w:val="0"/>
        <w:jc w:val="both"/>
        <w:rPr>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name and last name of the empowered individual being granted this power of attorney</w:t>
      </w:r>
      <w:r w:rsidRPr="003072BB">
        <w:rPr>
          <w:sz w:val="22"/>
          <w:szCs w:val="22"/>
          <w:lang w:val="en-GB"/>
        </w:rPr>
        <w:t xml:space="preserve">) </w:t>
      </w:r>
    </w:p>
    <w:p w14:paraId="5A812CEE" w14:textId="77777777" w:rsidR="006F29A4" w:rsidRPr="003072BB" w:rsidRDefault="006F29A4" w:rsidP="006F29A4">
      <w:pPr>
        <w:autoSpaceDE w:val="0"/>
        <w:autoSpaceDN w:val="0"/>
        <w:adjustRightInd w:val="0"/>
        <w:jc w:val="both"/>
        <w:rPr>
          <w:sz w:val="22"/>
          <w:szCs w:val="22"/>
          <w:lang w:val="en-GB"/>
        </w:rPr>
      </w:pPr>
    </w:p>
    <w:p w14:paraId="28A595CE"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7370D686" w14:textId="77777777" w:rsidR="006F29A4" w:rsidRPr="003072BB" w:rsidRDefault="006F29A4" w:rsidP="006F29A4">
      <w:pPr>
        <w:autoSpaceDE w:val="0"/>
        <w:autoSpaceDN w:val="0"/>
        <w:adjustRightInd w:val="0"/>
        <w:jc w:val="both"/>
        <w:rPr>
          <w:sz w:val="22"/>
          <w:szCs w:val="22"/>
          <w:lang w:val="en-GB"/>
        </w:rPr>
      </w:pPr>
    </w:p>
    <w:p w14:paraId="4AE2D8F3" w14:textId="77777777" w:rsidR="006F29A4" w:rsidRPr="003072BB" w:rsidRDefault="006F29A4" w:rsidP="006F29A4">
      <w:pPr>
        <w:autoSpaceDE w:val="0"/>
        <w:autoSpaceDN w:val="0"/>
        <w:adjustRightInd w:val="0"/>
        <w:jc w:val="both"/>
        <w:rPr>
          <w:b/>
          <w:sz w:val="22"/>
          <w:szCs w:val="22"/>
          <w:lang w:val="en-GB"/>
        </w:rPr>
      </w:pPr>
      <w:r w:rsidRPr="003072BB">
        <w:rPr>
          <w:b/>
          <w:sz w:val="22"/>
          <w:szCs w:val="22"/>
          <w:lang w:val="en-GB"/>
        </w:rPr>
        <w:t>OR</w:t>
      </w:r>
    </w:p>
    <w:p w14:paraId="7BA9CF4B" w14:textId="77777777" w:rsidR="006F29A4" w:rsidRPr="003072BB" w:rsidRDefault="006F29A4" w:rsidP="006F29A4">
      <w:pPr>
        <w:autoSpaceDE w:val="0"/>
        <w:autoSpaceDN w:val="0"/>
        <w:adjustRightInd w:val="0"/>
        <w:jc w:val="both"/>
        <w:rPr>
          <w:b/>
          <w:sz w:val="22"/>
          <w:szCs w:val="22"/>
          <w:lang w:val="en-GB"/>
        </w:rPr>
      </w:pPr>
    </w:p>
    <w:p w14:paraId="3C827B77"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[________________________________________]</w:t>
      </w:r>
    </w:p>
    <w:p w14:paraId="1C854BD7"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legal name of the empowered legal person being granted this power of attorney)</w:t>
      </w:r>
    </w:p>
    <w:p w14:paraId="40BB2796" w14:textId="77777777" w:rsidR="006F29A4" w:rsidRPr="003072BB" w:rsidRDefault="006F29A4" w:rsidP="006F29A4">
      <w:pPr>
        <w:autoSpaceDE w:val="0"/>
        <w:autoSpaceDN w:val="0"/>
        <w:adjustRightInd w:val="0"/>
        <w:jc w:val="both"/>
        <w:rPr>
          <w:sz w:val="22"/>
          <w:szCs w:val="22"/>
          <w:lang w:val="en-GB"/>
        </w:rPr>
      </w:pPr>
    </w:p>
    <w:p w14:paraId="66EA6CF9"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4A63713C" w14:textId="77777777" w:rsidR="006F29A4" w:rsidRPr="003072BB" w:rsidRDefault="006F29A4" w:rsidP="006F29A4">
      <w:pPr>
        <w:autoSpaceDE w:val="0"/>
        <w:autoSpaceDN w:val="0"/>
        <w:adjustRightInd w:val="0"/>
        <w:jc w:val="both"/>
        <w:rPr>
          <w:sz w:val="22"/>
          <w:szCs w:val="22"/>
          <w:lang w:val="en-GB"/>
        </w:rPr>
      </w:pPr>
    </w:p>
    <w:p w14:paraId="53425E95" w14:textId="77777777" w:rsidR="006F29A4" w:rsidRPr="003072BB" w:rsidRDefault="006F29A4" w:rsidP="006F29A4">
      <w:pPr>
        <w:autoSpaceDE w:val="0"/>
        <w:autoSpaceDN w:val="0"/>
        <w:adjustRightInd w:val="0"/>
        <w:jc w:val="both"/>
        <w:rPr>
          <w:sz w:val="22"/>
          <w:szCs w:val="22"/>
          <w:lang w:val="en-GB"/>
        </w:rPr>
      </w:pPr>
      <w:r w:rsidRPr="003072BB">
        <w:rPr>
          <w:sz w:val="22"/>
          <w:szCs w:val="22"/>
          <w:lang w:val="en-GB"/>
        </w:rPr>
        <w:t>legally represented by [___________________________]</w:t>
      </w:r>
    </w:p>
    <w:p w14:paraId="343358B1"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to be filled in with the first name and last name of the legal representative)</w:t>
      </w:r>
    </w:p>
    <w:p w14:paraId="30DE3A9F" w14:textId="77777777" w:rsidR="006F29A4" w:rsidRPr="003072BB" w:rsidRDefault="006F29A4" w:rsidP="006F29A4">
      <w:pPr>
        <w:autoSpaceDE w:val="0"/>
        <w:autoSpaceDN w:val="0"/>
        <w:adjustRightInd w:val="0"/>
        <w:jc w:val="both"/>
        <w:rPr>
          <w:sz w:val="22"/>
          <w:szCs w:val="22"/>
          <w:lang w:val="en-GB"/>
        </w:rPr>
      </w:pPr>
    </w:p>
    <w:p w14:paraId="587BA1B4" w14:textId="77777777" w:rsidR="006F29A4" w:rsidRPr="003072BB" w:rsidRDefault="006F29A4" w:rsidP="006F29A4">
      <w:pPr>
        <w:tabs>
          <w:tab w:val="num" w:pos="360"/>
        </w:tabs>
        <w:autoSpaceDE w:val="0"/>
        <w:autoSpaceDN w:val="0"/>
        <w:adjustRightInd w:val="0"/>
        <w:jc w:val="both"/>
        <w:rPr>
          <w:sz w:val="22"/>
          <w:szCs w:val="22"/>
          <w:lang w:val="en-GB"/>
        </w:rPr>
      </w:pPr>
      <w:r w:rsidRPr="003072BB">
        <w:rPr>
          <w:sz w:val="22"/>
          <w:szCs w:val="22"/>
          <w:lang w:val="en-GB"/>
        </w:rPr>
        <w:t>identified with identity card/passport series [____], no. [___________], issued by [________________________], on [______________], personal registration number [________________________], domiciled in [_____________________________________________________________],</w:t>
      </w:r>
    </w:p>
    <w:p w14:paraId="19F75C39" w14:textId="77777777" w:rsidR="006F29A4" w:rsidRPr="003072BB" w:rsidRDefault="006F29A4" w:rsidP="006F29A4">
      <w:pPr>
        <w:tabs>
          <w:tab w:val="num" w:pos="360"/>
        </w:tabs>
        <w:autoSpaceDE w:val="0"/>
        <w:autoSpaceDN w:val="0"/>
        <w:adjustRightInd w:val="0"/>
        <w:jc w:val="both"/>
        <w:rPr>
          <w:sz w:val="22"/>
          <w:szCs w:val="22"/>
          <w:lang w:val="en-GB"/>
        </w:rPr>
      </w:pPr>
    </w:p>
    <w:p w14:paraId="4199A46A" w14:textId="09AF6986" w:rsidR="006F29A4" w:rsidRPr="003072BB" w:rsidRDefault="006F29A4" w:rsidP="006F29A4">
      <w:pPr>
        <w:tabs>
          <w:tab w:val="num" w:pos="360"/>
        </w:tabs>
        <w:autoSpaceDE w:val="0"/>
        <w:autoSpaceDN w:val="0"/>
        <w:adjustRightInd w:val="0"/>
        <w:jc w:val="both"/>
        <w:rPr>
          <w:sz w:val="22"/>
          <w:szCs w:val="22"/>
          <w:lang w:val="en-GB"/>
        </w:rPr>
      </w:pPr>
      <w:r w:rsidRPr="003072BB">
        <w:rPr>
          <w:sz w:val="22"/>
          <w:szCs w:val="22"/>
          <w:lang w:val="en-GB"/>
        </w:rPr>
        <w:t xml:space="preserve">as my representative in the OGMS of the Company, which will take place on </w:t>
      </w:r>
      <w:r w:rsidR="00E22B3B">
        <w:rPr>
          <w:sz w:val="22"/>
          <w:szCs w:val="22"/>
          <w:lang w:val="en-GB"/>
        </w:rPr>
        <w:t>20 April 2022</w:t>
      </w:r>
      <w:r w:rsidR="00664BF0" w:rsidRPr="003072BB">
        <w:rPr>
          <w:sz w:val="22"/>
          <w:szCs w:val="22"/>
          <w:lang w:val="en-GB"/>
        </w:rPr>
        <w:t xml:space="preserve"> at 2:00 PM </w:t>
      </w:r>
      <w:r w:rsidRPr="003072BB">
        <w:rPr>
          <w:sz w:val="22"/>
          <w:szCs w:val="22"/>
          <w:lang w:val="en-GB"/>
        </w:rPr>
        <w:t>(Romanian time), at “</w:t>
      </w:r>
      <w:r w:rsidR="008D0CFF" w:rsidRPr="003072BB">
        <w:rPr>
          <w:sz w:val="22"/>
          <w:szCs w:val="22"/>
          <w:lang w:val="en-GB"/>
        </w:rPr>
        <w:t xml:space="preserve">ATHÉNÉE PALACE HILTON BUCHAREST” Hotel, </w:t>
      </w:r>
      <w:r w:rsidR="00DD3094" w:rsidRPr="003072BB">
        <w:rPr>
          <w:sz w:val="22"/>
          <w:szCs w:val="22"/>
          <w:lang w:val="en-GB"/>
        </w:rPr>
        <w:t>Enescu</w:t>
      </w:r>
      <w:r w:rsidR="008D0CFF" w:rsidRPr="003072BB">
        <w:rPr>
          <w:sz w:val="22"/>
          <w:szCs w:val="22"/>
          <w:lang w:val="en-GB"/>
        </w:rPr>
        <w:t xml:space="preserve"> Salon, 1-3 </w:t>
      </w:r>
      <w:r w:rsidR="008D0CFF" w:rsidRPr="003072BB">
        <w:rPr>
          <w:sz w:val="22"/>
          <w:szCs w:val="22"/>
          <w:lang w:val="en-GB"/>
        </w:rPr>
        <w:lastRenderedPageBreak/>
        <w:t>Episcopiei Street, Sector 1, Bucharest, 010292, Romania</w:t>
      </w:r>
      <w:r w:rsidRPr="003072BB">
        <w:rPr>
          <w:sz w:val="22"/>
          <w:szCs w:val="22"/>
          <w:lang w:val="en-GB"/>
        </w:rPr>
        <w:t xml:space="preserve">, </w:t>
      </w:r>
      <w:r w:rsidRPr="003072BB">
        <w:rPr>
          <w:sz w:val="22"/>
          <w:szCs w:val="22"/>
          <w:lang w:val="en-GB" w:eastAsia="ro-RO"/>
        </w:rPr>
        <w:t>to exercise the voting rights pertaining to my holdings registered in the shareholders’ registry as at the reference date, as follows</w:t>
      </w:r>
      <w:r w:rsidRPr="003072BB">
        <w:rPr>
          <w:sz w:val="22"/>
          <w:szCs w:val="22"/>
          <w:lang w:val="en-GB"/>
        </w:rPr>
        <w:t>:</w:t>
      </w:r>
    </w:p>
    <w:p w14:paraId="3E4548B4" w14:textId="77777777" w:rsidR="006F29A4" w:rsidRPr="003072BB" w:rsidRDefault="006F29A4" w:rsidP="006F29A4">
      <w:pPr>
        <w:tabs>
          <w:tab w:val="num" w:pos="360"/>
        </w:tabs>
        <w:autoSpaceDE w:val="0"/>
        <w:autoSpaceDN w:val="0"/>
        <w:adjustRightInd w:val="0"/>
        <w:jc w:val="both"/>
        <w:rPr>
          <w:sz w:val="22"/>
          <w:szCs w:val="22"/>
          <w:lang w:val="en-GB"/>
        </w:rPr>
      </w:pPr>
    </w:p>
    <w:p w14:paraId="19EA902A"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i/>
          <w:iCs/>
          <w:sz w:val="22"/>
          <w:szCs w:val="22"/>
          <w:lang w:val="en-GB"/>
        </w:rPr>
        <w:t>For item 1 on the agenda, sub-points 1.1 and 1.2 should not be voted in the same manner since they are mutually exclusive, e.g., voting "in favour" of one should mean voting "against"/ “abstention” of the other</w:t>
      </w:r>
      <w:r w:rsidRPr="001B4EE2">
        <w:rPr>
          <w:sz w:val="22"/>
          <w:szCs w:val="22"/>
          <w:lang w:val="en-GB"/>
        </w:rPr>
        <w:t xml:space="preserve">: </w:t>
      </w:r>
    </w:p>
    <w:p w14:paraId="56A95673" w14:textId="77777777" w:rsidR="000D4D9F" w:rsidRPr="001B4EE2" w:rsidRDefault="000D4D9F" w:rsidP="000D4D9F">
      <w:pPr>
        <w:pStyle w:val="ListParagraph"/>
        <w:ind w:left="360"/>
        <w:contextualSpacing w:val="0"/>
        <w:jc w:val="both"/>
        <w:rPr>
          <w:sz w:val="22"/>
          <w:szCs w:val="22"/>
          <w:lang w:val="en-GB"/>
        </w:rPr>
      </w:pPr>
    </w:p>
    <w:p w14:paraId="396666A6" w14:textId="77777777" w:rsidR="000D4D9F" w:rsidRPr="001B4EE2" w:rsidRDefault="000D4D9F" w:rsidP="000D4D9F">
      <w:pPr>
        <w:pStyle w:val="ListParagraph"/>
        <w:numPr>
          <w:ilvl w:val="1"/>
          <w:numId w:val="23"/>
        </w:numPr>
        <w:ind w:left="450" w:hanging="450"/>
        <w:jc w:val="both"/>
        <w:rPr>
          <w:sz w:val="22"/>
          <w:szCs w:val="22"/>
          <w:lang w:val="en-GB"/>
        </w:rPr>
      </w:pPr>
      <w:r w:rsidRPr="001B4EE2">
        <w:rPr>
          <w:sz w:val="22"/>
          <w:szCs w:val="22"/>
          <w:lang w:val="en-GB"/>
        </w:rPr>
        <w:t>In accordance with Article 9.7 of the Management Agreement signed on 6 January 2022 between Fondul Proprietatea and Franklin Templeton International Services S.à r.l.</w:t>
      </w:r>
      <w:r w:rsidRPr="001B4EE2">
        <w:rPr>
          <w:sz w:val="22"/>
          <w:szCs w:val="22"/>
          <w:lang w:val="ro-RO"/>
        </w:rPr>
        <w:t xml:space="preserve"> </w:t>
      </w:r>
      <w:r w:rsidRPr="001B4EE2">
        <w:rPr>
          <w:sz w:val="22"/>
          <w:szCs w:val="22"/>
          <w:lang w:val="en-GB"/>
        </w:rPr>
        <w:t>(“</w:t>
      </w:r>
      <w:r w:rsidRPr="001B4EE2">
        <w:rPr>
          <w:b/>
          <w:sz w:val="22"/>
          <w:szCs w:val="22"/>
          <w:lang w:val="en-GB"/>
        </w:rPr>
        <w:t>Management Agreement</w:t>
      </w:r>
      <w:r w:rsidRPr="001B4EE2">
        <w:rPr>
          <w:sz w:val="22"/>
          <w:szCs w:val="22"/>
          <w:lang w:val="en-GB"/>
        </w:rPr>
        <w:t xml:space="preserve">”), the shareholders decide on the approval of the continuation of the current mandate of Franklin Templeton International Services S.à r.l. as the alternative investment fund manager and sole director of Fondul Proprietatea </w:t>
      </w:r>
      <w:r w:rsidRPr="001B4EE2">
        <w:rPr>
          <w:i/>
          <w:iCs/>
          <w:sz w:val="22"/>
          <w:szCs w:val="22"/>
          <w:lang w:val="en-GB"/>
        </w:rPr>
        <w:t>(secret vote)</w:t>
      </w:r>
    </w:p>
    <w:p w14:paraId="287CC539"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6F59C896"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EA28"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71E12F"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ED8D46A"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0DBAB0F3"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27119C7"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F6C7B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158FBA5"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E23231B" w14:textId="77777777" w:rsidR="000D4D9F" w:rsidRPr="001B4EE2" w:rsidRDefault="000D4D9F" w:rsidP="000D4D9F">
      <w:pPr>
        <w:pStyle w:val="ListParagraph"/>
        <w:ind w:left="450"/>
        <w:jc w:val="both"/>
        <w:rPr>
          <w:color w:val="1F497D"/>
          <w:sz w:val="22"/>
          <w:szCs w:val="22"/>
          <w:lang w:val="en-GB"/>
        </w:rPr>
      </w:pPr>
    </w:p>
    <w:p w14:paraId="3506B1EE"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5CE4B93F" w14:textId="77777777" w:rsidR="000D4D9F" w:rsidRPr="001B4EE2" w:rsidRDefault="000D4D9F" w:rsidP="000D4D9F">
      <w:pPr>
        <w:pStyle w:val="ListParagraph"/>
        <w:rPr>
          <w:sz w:val="22"/>
          <w:szCs w:val="22"/>
          <w:lang w:val="en-GB"/>
        </w:rPr>
      </w:pPr>
    </w:p>
    <w:p w14:paraId="4DA39228" w14:textId="77777777" w:rsidR="000D4D9F" w:rsidRPr="001B4EE2" w:rsidRDefault="000D4D9F" w:rsidP="000D4D9F">
      <w:pPr>
        <w:pStyle w:val="ListParagraph"/>
        <w:numPr>
          <w:ilvl w:val="1"/>
          <w:numId w:val="23"/>
        </w:numPr>
        <w:ind w:left="450" w:hanging="450"/>
        <w:jc w:val="both"/>
        <w:rPr>
          <w:sz w:val="22"/>
          <w:szCs w:val="22"/>
          <w:lang w:val="en-GB"/>
        </w:rPr>
      </w:pPr>
      <w:r w:rsidRPr="001B4EE2">
        <w:rPr>
          <w:sz w:val="22"/>
          <w:szCs w:val="22"/>
          <w:lang w:val="en-GB"/>
        </w:rPr>
        <w:t>In case point 1.1 above is not approved by the shareholders, in accordance with point 9.7 of the Management Agreement, the approval of:</w:t>
      </w:r>
    </w:p>
    <w:p w14:paraId="172AF46E" w14:textId="77777777" w:rsidR="000D4D9F" w:rsidRPr="001B4EE2" w:rsidRDefault="000D4D9F" w:rsidP="000D4D9F">
      <w:pPr>
        <w:pStyle w:val="ListParagraph"/>
        <w:numPr>
          <w:ilvl w:val="0"/>
          <w:numId w:val="5"/>
        </w:numPr>
        <w:spacing w:before="240"/>
        <w:ind w:left="450" w:hanging="450"/>
        <w:contextualSpacing w:val="0"/>
        <w:jc w:val="both"/>
        <w:rPr>
          <w:sz w:val="22"/>
          <w:szCs w:val="22"/>
          <w:lang w:val="en-GB"/>
        </w:rPr>
      </w:pPr>
      <w:r w:rsidRPr="001B4EE2">
        <w:rPr>
          <w:sz w:val="22"/>
          <w:szCs w:val="22"/>
          <w:lang w:val="en-GB"/>
        </w:rPr>
        <w:t>the simultaneous termination of the mandate of Franklin Templeton International Services S.à r.l.</w:t>
      </w:r>
      <w:r w:rsidRPr="001B4EE2">
        <w:rPr>
          <w:sz w:val="22"/>
          <w:szCs w:val="22"/>
          <w:lang w:val="ro-RO"/>
        </w:rPr>
        <w:t xml:space="preserve"> </w:t>
      </w:r>
      <w:r w:rsidRPr="001B4EE2">
        <w:rPr>
          <w:sz w:val="22"/>
          <w:szCs w:val="22"/>
          <w:lang w:val="en-GB"/>
        </w:rPr>
        <w:t>as the alternative investment fund manager and sole director of Fondul Proprietatea, and of the Management Agreement, beginning with the earliest of: (i) the appointment of a new alternative investment fund manager and sole director of Fondul Proprietatea in accordance with the terms of the Management Agreement; or (ii) 1 November 2022, and of</w:t>
      </w:r>
    </w:p>
    <w:p w14:paraId="65EFE904" w14:textId="77777777" w:rsidR="000D4D9F" w:rsidRPr="001B4EE2" w:rsidRDefault="000D4D9F" w:rsidP="000D4D9F">
      <w:pPr>
        <w:pStyle w:val="ListParagraph"/>
        <w:numPr>
          <w:ilvl w:val="0"/>
          <w:numId w:val="5"/>
        </w:numPr>
        <w:spacing w:before="240"/>
        <w:ind w:left="450" w:hanging="450"/>
        <w:contextualSpacing w:val="0"/>
        <w:jc w:val="both"/>
        <w:rPr>
          <w:sz w:val="22"/>
          <w:szCs w:val="22"/>
          <w:lang w:val="en-GB"/>
        </w:rPr>
      </w:pPr>
      <w:r w:rsidRPr="001B4EE2">
        <w:rPr>
          <w:sz w:val="22"/>
          <w:szCs w:val="22"/>
          <w:lang w:val="en-GB"/>
        </w:rPr>
        <w:t>the procedure to be observed for the selection of a new alternative investment fund manager and sole director of Fondul Proprietatea, as described in the supporting materials. (</w:t>
      </w:r>
      <w:r w:rsidRPr="001B4EE2">
        <w:rPr>
          <w:i/>
          <w:sz w:val="22"/>
          <w:szCs w:val="22"/>
          <w:lang w:val="en-GB"/>
        </w:rPr>
        <w:t>secret vote</w:t>
      </w:r>
      <w:r w:rsidRPr="001B4EE2">
        <w:rPr>
          <w:sz w:val="22"/>
          <w:szCs w:val="22"/>
          <w:lang w:val="en-GB"/>
        </w:rPr>
        <w:t xml:space="preserve">)    </w:t>
      </w:r>
    </w:p>
    <w:p w14:paraId="3FCB1C1D" w14:textId="77777777" w:rsidR="000D4D9F" w:rsidRPr="001B4EE2" w:rsidRDefault="000D4D9F" w:rsidP="000D4D9F">
      <w:pPr>
        <w:pStyle w:val="ListParagrap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4D438D2"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6052"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36172F"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2244767"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430CACBE"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C94BA9E"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C7E949"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504D5D9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584BE005" w14:textId="77777777" w:rsidR="000D4D9F" w:rsidRPr="001B4EE2" w:rsidRDefault="000D4D9F" w:rsidP="000D4D9F">
      <w:pPr>
        <w:pStyle w:val="ListParagraph"/>
        <w:ind w:left="450"/>
        <w:jc w:val="both"/>
        <w:rPr>
          <w:color w:val="1F497D"/>
          <w:sz w:val="22"/>
          <w:szCs w:val="22"/>
          <w:lang w:val="en-GB"/>
        </w:rPr>
      </w:pPr>
    </w:p>
    <w:p w14:paraId="71DE0857"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DF2DA5A" w14:textId="77777777" w:rsidR="000D4D9F" w:rsidRPr="001B4EE2" w:rsidRDefault="000D4D9F" w:rsidP="000D4D9F">
      <w:pPr>
        <w:pStyle w:val="ListParagraph"/>
        <w:rPr>
          <w:sz w:val="22"/>
          <w:szCs w:val="22"/>
          <w:lang w:val="en-GB"/>
        </w:rPr>
      </w:pPr>
    </w:p>
    <w:p w14:paraId="18AFAC81"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2, respectively, </w:t>
      </w:r>
      <w:bookmarkStart w:id="0" w:name="_Hlk62232464"/>
      <w:r w:rsidRPr="001B4EE2">
        <w:rPr>
          <w:sz w:val="22"/>
          <w:szCs w:val="22"/>
          <w:lang w:val="en-GB"/>
        </w:rPr>
        <w:t xml:space="preserve">the approval of the Annual Activity Report of the Sole Director </w:t>
      </w:r>
      <w:bookmarkEnd w:id="0"/>
      <w:r w:rsidRPr="001B4EE2">
        <w:rPr>
          <w:sz w:val="22"/>
          <w:szCs w:val="22"/>
          <w:lang w:val="en-GB"/>
        </w:rPr>
        <w:t>of Fondul Proprietatea for the financial year 2021, including the financial statements for the year ended on 31 December 2021, prepared in accordance with the International Financial Reporting Standards, as adopted by the European Union and applying the Financial Supervisory Authority Norm no. 39/ 28 December 2015, the approval of the auditor’s report (all as presented in the supporting documentation, on the website of Fondul Proprietatea, including in the format according to provisions of the EU Delegated Regulation 2019/815 of the Council with regard to regulatory technical standards on the specification of a single electronic reporting format), the approval of the Remuneration Report of Fondul Proprietatea for the 2021 financial year, the ratification of all legal acts concluded, adopted or issued on behalf of Fondul Proprietatea, as well as of any management/administration measures adopted, implemented, approved or concluded during 2021 financial year, along with the discharge of the Sole Director’s for any liability for its administration during 2021 financial year.</w:t>
      </w:r>
    </w:p>
    <w:p w14:paraId="26798371"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C9E424B"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450D5"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8DB980"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61206DF"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6B91757E"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E623AAB"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71A309"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7888636"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6556599" w14:textId="77777777" w:rsidR="000D4D9F" w:rsidRPr="001B4EE2" w:rsidRDefault="000D4D9F" w:rsidP="000D4D9F">
      <w:pPr>
        <w:pStyle w:val="ListParagraph"/>
        <w:ind w:left="450"/>
        <w:jc w:val="both"/>
        <w:rPr>
          <w:color w:val="1F497D"/>
          <w:sz w:val="22"/>
          <w:szCs w:val="22"/>
          <w:lang w:val="en-GB"/>
        </w:rPr>
      </w:pPr>
    </w:p>
    <w:p w14:paraId="55277E1D"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71E0F13" w14:textId="77777777" w:rsidR="000D4D9F" w:rsidRPr="001B4EE2" w:rsidRDefault="000D4D9F" w:rsidP="000D4D9F">
      <w:pPr>
        <w:pStyle w:val="ListParagraph"/>
        <w:rPr>
          <w:sz w:val="22"/>
          <w:szCs w:val="22"/>
          <w:lang w:val="en-GB"/>
        </w:rPr>
      </w:pPr>
    </w:p>
    <w:p w14:paraId="0735455D"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For item 3, respectively, at the proposal of the Fund Manager, the approval of the Remuneration Policy of Fondul Proprietatea in force starting with 1 April 2022, as described in the supporting documentation, in order to reflect the provisions of the Management Agreement approved by shareholders on 15 December 2021.</w:t>
      </w:r>
    </w:p>
    <w:p w14:paraId="21B2C51F"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4EFDB87F"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02E9"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199DE0"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38CA9688"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201B5A50"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69BB8D9"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0F5F6E"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BCCEFE1"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54648527" w14:textId="77777777" w:rsidR="000D4D9F" w:rsidRPr="001B4EE2" w:rsidRDefault="000D4D9F" w:rsidP="000D4D9F">
      <w:pPr>
        <w:pStyle w:val="ListParagraph"/>
        <w:ind w:left="450"/>
        <w:jc w:val="both"/>
        <w:rPr>
          <w:color w:val="1F497D"/>
          <w:sz w:val="22"/>
          <w:szCs w:val="22"/>
          <w:lang w:val="en-GB"/>
        </w:rPr>
      </w:pPr>
    </w:p>
    <w:p w14:paraId="2F551E0F"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F6EE6B6" w14:textId="77777777" w:rsidR="000D4D9F" w:rsidRPr="001B4EE2" w:rsidRDefault="000D4D9F" w:rsidP="000D4D9F">
      <w:pPr>
        <w:pStyle w:val="ListParagraph"/>
        <w:rPr>
          <w:sz w:val="22"/>
          <w:szCs w:val="22"/>
          <w:lang w:val="en-GB"/>
        </w:rPr>
      </w:pPr>
    </w:p>
    <w:p w14:paraId="0C95B5FA"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For item 4, respectively, at the proposal of the Board of Nominees of Fondul Proprietatea:</w:t>
      </w:r>
    </w:p>
    <w:p w14:paraId="6672F3FC" w14:textId="77777777" w:rsidR="000D4D9F" w:rsidRPr="001B4EE2" w:rsidRDefault="000D4D9F" w:rsidP="000D4D9F">
      <w:pPr>
        <w:pStyle w:val="ListParagraph"/>
        <w:rPr>
          <w:sz w:val="22"/>
          <w:szCs w:val="22"/>
          <w:lang w:val="en-GB"/>
        </w:rPr>
      </w:pPr>
    </w:p>
    <w:p w14:paraId="63070547"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the increase of the gross monthly remuneration for each member of the Board of Nominees by 10 (ten) per cent, from RON 24,123 to RON 26,535.30, with effect from 20 April 2022 (the “</w:t>
      </w:r>
      <w:r w:rsidRPr="001B4EE2">
        <w:rPr>
          <w:b/>
          <w:bCs/>
          <w:sz w:val="22"/>
          <w:szCs w:val="22"/>
          <w:lang w:val="en-GB"/>
        </w:rPr>
        <w:t>Base Monthly Remuneration</w:t>
      </w:r>
      <w:r w:rsidRPr="001B4EE2">
        <w:rPr>
          <w:sz w:val="22"/>
          <w:szCs w:val="22"/>
          <w:lang w:val="en-GB"/>
        </w:rPr>
        <w:t>”). With effect from the 1st January of each calendar year, the Base Monthly Remuneration shall be adjusted with the positive rate of the Romanian inflation of the previous calendar year, as published by the National Institute of Statistics of Romania.</w:t>
      </w:r>
    </w:p>
    <w:p w14:paraId="1F6262DD" w14:textId="77777777" w:rsidR="000D4D9F" w:rsidRPr="001B4EE2" w:rsidRDefault="000D4D9F" w:rsidP="000D4D9F">
      <w:pPr>
        <w:pStyle w:val="ListParagraph"/>
        <w:ind w:left="450"/>
        <w:contextualSpacing w:val="0"/>
        <w:jc w:val="both"/>
        <w:rPr>
          <w:sz w:val="22"/>
          <w:szCs w:val="22"/>
          <w:lang w:val="en-GB"/>
        </w:rPr>
      </w:pPr>
    </w:p>
    <w:p w14:paraId="1C778B9C"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an additional fixed gross monthly remuneration for the Chairperson of the Board of Nominees and for the Chairpersons of the Audit and Valuation Committee and of the Nomination and Remuneration Committee, with effect from 20 April 2022, as follows:</w:t>
      </w:r>
    </w:p>
    <w:p w14:paraId="3133928D" w14:textId="77777777" w:rsidR="000D4D9F" w:rsidRPr="001B4EE2" w:rsidRDefault="000D4D9F" w:rsidP="000D4D9F">
      <w:pPr>
        <w:pStyle w:val="ListParagraph"/>
        <w:rPr>
          <w:sz w:val="22"/>
          <w:szCs w:val="22"/>
          <w:lang w:val="en-GB"/>
        </w:rPr>
      </w:pPr>
    </w:p>
    <w:p w14:paraId="2289EB83" w14:textId="77777777" w:rsidR="000D4D9F" w:rsidRPr="001B4EE2" w:rsidRDefault="000D4D9F" w:rsidP="000D4D9F">
      <w:pPr>
        <w:pStyle w:val="ListParagraph"/>
        <w:numPr>
          <w:ilvl w:val="0"/>
          <w:numId w:val="25"/>
        </w:numPr>
        <w:autoSpaceDE w:val="0"/>
        <w:autoSpaceDN w:val="0"/>
        <w:ind w:left="990" w:hanging="540"/>
        <w:contextualSpacing w:val="0"/>
        <w:jc w:val="both"/>
        <w:rPr>
          <w:sz w:val="22"/>
          <w:szCs w:val="22"/>
          <w:lang w:val="en-GB"/>
        </w:rPr>
      </w:pPr>
      <w:r w:rsidRPr="001B4EE2">
        <w:rPr>
          <w:sz w:val="22"/>
          <w:szCs w:val="22"/>
          <w:lang w:val="en-GB"/>
        </w:rPr>
        <w:t>an additional fixed gross monthly remuneration of twenty-five (25) per cent of the Base Monthly Remuneration, for the Chairperson of the Board of Nominees; and</w:t>
      </w:r>
    </w:p>
    <w:p w14:paraId="201CD496" w14:textId="77777777" w:rsidR="000D4D9F" w:rsidRPr="001B4EE2" w:rsidRDefault="000D4D9F" w:rsidP="000D4D9F">
      <w:pPr>
        <w:pStyle w:val="ListParagraph"/>
        <w:autoSpaceDE w:val="0"/>
        <w:autoSpaceDN w:val="0"/>
        <w:ind w:left="1581"/>
        <w:jc w:val="both"/>
        <w:rPr>
          <w:sz w:val="22"/>
          <w:szCs w:val="22"/>
          <w:lang w:val="en-GB"/>
        </w:rPr>
      </w:pPr>
    </w:p>
    <w:p w14:paraId="0D1449B9" w14:textId="77777777" w:rsidR="000D4D9F" w:rsidRPr="001B4EE2" w:rsidRDefault="000D4D9F" w:rsidP="000D4D9F">
      <w:pPr>
        <w:pStyle w:val="ListParagraph"/>
        <w:numPr>
          <w:ilvl w:val="0"/>
          <w:numId w:val="25"/>
        </w:numPr>
        <w:autoSpaceDE w:val="0"/>
        <w:autoSpaceDN w:val="0"/>
        <w:ind w:left="990" w:hanging="540"/>
        <w:contextualSpacing w:val="0"/>
        <w:jc w:val="both"/>
        <w:rPr>
          <w:sz w:val="22"/>
          <w:szCs w:val="22"/>
          <w:lang w:val="en-GB"/>
        </w:rPr>
      </w:pPr>
      <w:r w:rsidRPr="001B4EE2">
        <w:rPr>
          <w:sz w:val="22"/>
          <w:szCs w:val="22"/>
          <w:lang w:val="en-GB"/>
        </w:rPr>
        <w:t>an additional fixed gross monthly remuneration of twenty (20) per cent of the Base Monthly Remuneration, for the Chairperson of the Audit and Valuation Committee and for the Chairperson of the Nomination and Remuneration Committee.</w:t>
      </w:r>
    </w:p>
    <w:p w14:paraId="5E5CFFC5" w14:textId="77777777" w:rsidR="000D4D9F" w:rsidRPr="001B4EE2" w:rsidRDefault="000D4D9F" w:rsidP="000D4D9F">
      <w:pPr>
        <w:pStyle w:val="ListParagraph"/>
        <w:rPr>
          <w:sz w:val="22"/>
          <w:szCs w:val="22"/>
          <w:lang w:val="en-GB"/>
        </w:rPr>
      </w:pPr>
    </w:p>
    <w:p w14:paraId="30CCFFEF" w14:textId="77777777" w:rsidR="000D4D9F" w:rsidRPr="001B4EE2" w:rsidRDefault="000D4D9F" w:rsidP="000D4D9F">
      <w:pPr>
        <w:pStyle w:val="ListParagraph"/>
        <w:ind w:left="450"/>
        <w:jc w:val="both"/>
        <w:rPr>
          <w:sz w:val="22"/>
          <w:szCs w:val="22"/>
          <w:lang w:val="en-GB"/>
        </w:rPr>
      </w:pPr>
      <w:r w:rsidRPr="001B4EE2">
        <w:rPr>
          <w:sz w:val="22"/>
          <w:szCs w:val="22"/>
          <w:lang w:val="en-GB"/>
        </w:rPr>
        <w:t xml:space="preserve">The additional fixed gross monthly remuneration for the Chairperson of the Board of Nominees and for the Chairpersons of the Audit and Valuation Committee and of the Nomination and Remuneration Committee shall be payable pro-rata for the period during which the member of the Board of Nominees holds the relevant position(s). </w:t>
      </w:r>
    </w:p>
    <w:p w14:paraId="438345B9" w14:textId="77777777" w:rsidR="000D4D9F" w:rsidRPr="001B4EE2" w:rsidRDefault="000D4D9F" w:rsidP="000D4D9F">
      <w:pPr>
        <w:pStyle w:val="ListParagraph"/>
        <w:rPr>
          <w:sz w:val="22"/>
          <w:szCs w:val="22"/>
          <w:lang w:val="en-GB"/>
        </w:rPr>
      </w:pPr>
    </w:p>
    <w:p w14:paraId="1E169224"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an increased notice period in case of withdrawal from the position of member of the Board of Nominees, from the current fifteen (15) working days in advance to three (3) months in advance, applicable to each member of the Board of Nominees. Notwithstanding the foregoing, a shorter notice period may be accepted on a case by case basis where such is expressly required by the applicable law or by any relevant authority</w:t>
      </w:r>
      <w:r w:rsidRPr="001B4EE2">
        <w:rPr>
          <w:color w:val="000000"/>
          <w:sz w:val="22"/>
          <w:szCs w:val="22"/>
        </w:rPr>
        <w:t>.</w:t>
      </w:r>
    </w:p>
    <w:p w14:paraId="62F130F0" w14:textId="77777777" w:rsidR="000D4D9F" w:rsidRPr="001B4EE2" w:rsidRDefault="000D4D9F" w:rsidP="000D4D9F">
      <w:pPr>
        <w:pStyle w:val="ListParagraph"/>
        <w:ind w:left="810" w:hanging="540"/>
        <w:rPr>
          <w:sz w:val="22"/>
          <w:szCs w:val="22"/>
          <w:lang w:val="en-GB"/>
        </w:rPr>
      </w:pPr>
    </w:p>
    <w:p w14:paraId="59EF5A6D"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the amendment of the Remuneration Policy of Fondul Proprietatea, as described in the supporting documentation, to reflect the changes contemplated by the items (a), (b), and (c) above.</w:t>
      </w:r>
    </w:p>
    <w:p w14:paraId="4E6CEF5F" w14:textId="77777777" w:rsidR="000D4D9F" w:rsidRPr="001B4EE2" w:rsidRDefault="000D4D9F" w:rsidP="000D4D9F">
      <w:pPr>
        <w:pStyle w:val="ListParagraph"/>
        <w:ind w:left="810" w:hanging="540"/>
        <w:rPr>
          <w:sz w:val="22"/>
          <w:szCs w:val="22"/>
          <w:lang w:val="en-GB"/>
        </w:rPr>
      </w:pPr>
    </w:p>
    <w:p w14:paraId="4427FF4E" w14:textId="77777777" w:rsidR="000D4D9F" w:rsidRPr="001B4EE2" w:rsidRDefault="000D4D9F" w:rsidP="000D4D9F">
      <w:pPr>
        <w:pStyle w:val="ListParagraph"/>
        <w:ind w:left="450"/>
        <w:contextualSpacing w:val="0"/>
        <w:jc w:val="both"/>
        <w:rPr>
          <w:sz w:val="22"/>
          <w:szCs w:val="22"/>
          <w:lang w:val="en-GB"/>
        </w:rPr>
      </w:pPr>
      <w:r w:rsidRPr="001B4EE2">
        <w:rPr>
          <w:sz w:val="22"/>
          <w:szCs w:val="22"/>
          <w:lang w:val="en-GB"/>
        </w:rPr>
        <w:t>The relevant changes to the Remuneration Policy of Fondul Proprietatea, as described in the supporting documentation, shall be consolidated in an updated version of the Remuneration Policy to include also the amendments contemplated by item 3 on the agenda in case such item is approved by the shareholders.</w:t>
      </w:r>
    </w:p>
    <w:p w14:paraId="4D7A2D79" w14:textId="77777777" w:rsidR="000D4D9F" w:rsidRPr="001B4EE2" w:rsidRDefault="000D4D9F" w:rsidP="000D4D9F">
      <w:pPr>
        <w:ind w:left="810" w:hanging="540"/>
        <w:jc w:val="both"/>
        <w:rPr>
          <w:sz w:val="22"/>
          <w:szCs w:val="22"/>
          <w:lang w:val="en-GB"/>
        </w:rPr>
      </w:pPr>
    </w:p>
    <w:p w14:paraId="632F6880" w14:textId="77777777" w:rsidR="000D4D9F" w:rsidRPr="001B4EE2" w:rsidRDefault="000D4D9F" w:rsidP="000D4D9F">
      <w:pPr>
        <w:pStyle w:val="ListParagraph"/>
        <w:numPr>
          <w:ilvl w:val="0"/>
          <w:numId w:val="24"/>
        </w:numPr>
        <w:ind w:left="450"/>
        <w:contextualSpacing w:val="0"/>
        <w:jc w:val="both"/>
        <w:rPr>
          <w:sz w:val="22"/>
          <w:szCs w:val="22"/>
          <w:lang w:val="en-GB"/>
        </w:rPr>
      </w:pPr>
      <w:r w:rsidRPr="001B4EE2">
        <w:rPr>
          <w:sz w:val="22"/>
          <w:szCs w:val="22"/>
          <w:lang w:val="en-GB"/>
        </w:rPr>
        <w:t>The approval of the amendment of the template mandate agreement of the members of the Board of Nominees of Fondul Proprietatea and the approval of the addenda to the existing mandate agreements of the members of the Board of Nominees to reflect the changes contemplated by the items (a), (b), and (c) above, in accordance with the supporting documentation. Mr. Johan Meyer is empowered to sign the mandate agreements, respectively the addenda to the mandate agreements with the members of the Board of Nominees, for and on behalf of Fondul Proprietatea.</w:t>
      </w:r>
    </w:p>
    <w:p w14:paraId="2CC8E5C5"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422A0242"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864B"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E3A8EA"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3D3DF4B"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3726ED52"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0A578C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17BCEB"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4B74D8C"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6B6B2732" w14:textId="77777777" w:rsidR="000D4D9F" w:rsidRPr="001B4EE2" w:rsidRDefault="000D4D9F" w:rsidP="000D4D9F">
      <w:pPr>
        <w:pStyle w:val="ListParagraph"/>
        <w:ind w:left="450"/>
        <w:jc w:val="both"/>
        <w:rPr>
          <w:color w:val="1F497D"/>
          <w:sz w:val="22"/>
          <w:szCs w:val="22"/>
          <w:lang w:val="en-GB"/>
        </w:rPr>
      </w:pPr>
    </w:p>
    <w:p w14:paraId="08CBA327"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073EB78F" w14:textId="77777777" w:rsidR="000D4D9F" w:rsidRPr="001B4EE2" w:rsidRDefault="000D4D9F" w:rsidP="000D4D9F">
      <w:pPr>
        <w:pStyle w:val="ListParagraph"/>
        <w:rPr>
          <w:sz w:val="22"/>
          <w:szCs w:val="22"/>
          <w:lang w:val="en-GB"/>
        </w:rPr>
      </w:pPr>
    </w:p>
    <w:p w14:paraId="0C1498C2"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For item 5, respectively, the appointment of a member in the Board of Nominees following the resignation of Mr. Mark Gitenstein on 18 December 2021. The mandate of the new member is valid for a period of three (3) years and shall produce its effects starting with the acceptance date. The proposals of the shareholders for the mandate may be submitted by 18 March 2022, 5:00 PM (Romanian time), to the Company’s headquarters in Bucharest, 76-80 Buzești Street, 7th floor, 1st district, postal code 011017 or by e-mail at</w:t>
      </w:r>
      <w:r w:rsidRPr="001B4EE2">
        <w:rPr>
          <w:sz w:val="22"/>
          <w:szCs w:val="22"/>
        </w:rPr>
        <w:t xml:space="preserve"> </w:t>
      </w:r>
      <w:hyperlink r:id="rId10" w:history="1">
        <w:r w:rsidRPr="001B4EE2">
          <w:rPr>
            <w:rStyle w:val="Hyperlink"/>
            <w:sz w:val="22"/>
            <w:szCs w:val="22"/>
          </w:rPr>
          <w:t>agafp@fondulproprietatea.ro</w:t>
        </w:r>
      </w:hyperlink>
      <w:r w:rsidRPr="001B4EE2">
        <w:rPr>
          <w:sz w:val="22"/>
          <w:szCs w:val="22"/>
          <w:lang w:val="en-GB"/>
        </w:rPr>
        <w:t xml:space="preserve">. </w:t>
      </w:r>
    </w:p>
    <w:p w14:paraId="0D34F99C" w14:textId="77777777" w:rsidR="000D4D9F" w:rsidRPr="001B4EE2" w:rsidRDefault="000D4D9F" w:rsidP="000D4D9F">
      <w:pPr>
        <w:pStyle w:val="ListParagraph"/>
        <w:rPr>
          <w:sz w:val="22"/>
          <w:szCs w:val="22"/>
          <w:lang w:val="en-GB"/>
        </w:rPr>
      </w:pPr>
    </w:p>
    <w:p w14:paraId="445892D0" w14:textId="77777777" w:rsidR="000D4D9F" w:rsidRPr="001B4EE2" w:rsidRDefault="000D4D9F" w:rsidP="000D4D9F">
      <w:pPr>
        <w:pStyle w:val="ListParagraph"/>
        <w:ind w:left="360"/>
        <w:jc w:val="both"/>
        <w:rPr>
          <w:sz w:val="22"/>
          <w:szCs w:val="22"/>
          <w:lang w:val="en-GB"/>
        </w:rPr>
      </w:pPr>
      <w:r w:rsidRPr="001B4EE2">
        <w:rPr>
          <w:sz w:val="22"/>
          <w:szCs w:val="22"/>
          <w:lang w:val="en-GB"/>
        </w:rPr>
        <w:t xml:space="preserve">Each candidate for the Board of Nominees must submit the copy of the ID, the resume which details the current professional activity, the fiscal record and the criminal record, or solemn statement, if the candidate is not a Romanian citizen, the questionnaire regarding the independence of the candidate, filled in and signed by the candidate, </w:t>
      </w:r>
      <w:bookmarkStart w:id="1" w:name="_Hlk50732052"/>
      <w:r w:rsidRPr="001B4EE2">
        <w:rPr>
          <w:sz w:val="22"/>
          <w:szCs w:val="22"/>
          <w:lang w:val="en-GB"/>
        </w:rPr>
        <w:t>and the consent form and information note for the collection and processing of personal data in the recruitment process, filled in and signed by the candidate, whose templates are available in the informative materials</w:t>
      </w:r>
      <w:bookmarkEnd w:id="1"/>
      <w:r w:rsidRPr="001B4EE2">
        <w:rPr>
          <w:sz w:val="22"/>
          <w:szCs w:val="22"/>
          <w:lang w:val="en-GB"/>
        </w:rPr>
        <w:t xml:space="preserve">. </w:t>
      </w:r>
    </w:p>
    <w:p w14:paraId="150517CC" w14:textId="77777777" w:rsidR="000D4D9F" w:rsidRPr="001B4EE2" w:rsidRDefault="000D4D9F" w:rsidP="000D4D9F">
      <w:pPr>
        <w:pStyle w:val="ListParagraph"/>
        <w:ind w:left="360"/>
        <w:jc w:val="both"/>
        <w:rPr>
          <w:sz w:val="22"/>
          <w:szCs w:val="22"/>
          <w:lang w:val="en-GB"/>
        </w:rPr>
      </w:pPr>
    </w:p>
    <w:p w14:paraId="7F6EA59A" w14:textId="77777777" w:rsidR="000D4D9F" w:rsidRPr="001B4EE2" w:rsidRDefault="000D4D9F" w:rsidP="000D4D9F">
      <w:pPr>
        <w:pStyle w:val="ListParagraph"/>
        <w:ind w:left="360"/>
        <w:jc w:val="both"/>
        <w:rPr>
          <w:sz w:val="22"/>
          <w:szCs w:val="22"/>
          <w:lang w:val="en-GB"/>
        </w:rPr>
      </w:pPr>
      <w:r w:rsidRPr="001B4EE2">
        <w:rPr>
          <w:sz w:val="22"/>
          <w:szCs w:val="22"/>
          <w:lang w:val="en-GB"/>
        </w:rPr>
        <w:t>The list including information with regard to the name, the locality of residence, the professional qualification, the capacity as shareholder, fiscal record and criminal record, the independence questionnaire and the resume will be published on the webpage of the Company and shall be daily updated on the basis of received proposals. (</w:t>
      </w:r>
      <w:r w:rsidRPr="001B4EE2">
        <w:rPr>
          <w:i/>
          <w:iCs/>
          <w:sz w:val="22"/>
          <w:szCs w:val="22"/>
          <w:lang w:val="en-GB"/>
        </w:rPr>
        <w:t>secret vote</w:t>
      </w:r>
      <w:r w:rsidRPr="001B4EE2">
        <w:rPr>
          <w:sz w:val="22"/>
          <w:szCs w:val="22"/>
          <w:lang w:val="en-GB"/>
        </w:rPr>
        <w:t xml:space="preserve">). </w:t>
      </w:r>
    </w:p>
    <w:p w14:paraId="52D40380" w14:textId="77777777" w:rsidR="000D4D9F" w:rsidRPr="001B4EE2" w:rsidRDefault="000D4D9F" w:rsidP="000D4D9F">
      <w:pPr>
        <w:pStyle w:val="ListParagraph"/>
        <w:ind w:left="450"/>
        <w:contextualSpacing w:val="0"/>
        <w:jc w:val="both"/>
        <w:rPr>
          <w:sz w:val="22"/>
          <w:szCs w:val="22"/>
          <w:lang w:val="en-GB"/>
        </w:rPr>
      </w:pPr>
    </w:p>
    <w:tbl>
      <w:tblPr>
        <w:tblW w:w="5886" w:type="dxa"/>
        <w:tblInd w:w="879" w:type="dxa"/>
        <w:tblLook w:val="04A0" w:firstRow="1" w:lastRow="0" w:firstColumn="1" w:lastColumn="0" w:noHBand="0" w:noVBand="1"/>
      </w:tblPr>
      <w:tblGrid>
        <w:gridCol w:w="1856"/>
        <w:gridCol w:w="959"/>
        <w:gridCol w:w="1418"/>
        <w:gridCol w:w="1653"/>
      </w:tblGrid>
      <w:tr w:rsidR="009B5FF6" w:rsidRPr="001B4EE2" w14:paraId="4D32B246" w14:textId="77777777" w:rsidTr="00D469B5">
        <w:trPr>
          <w:trHeight w:val="300"/>
        </w:trPr>
        <w:tc>
          <w:tcPr>
            <w:tcW w:w="1856" w:type="dxa"/>
            <w:tcBorders>
              <w:top w:val="single" w:sz="4" w:space="0" w:color="auto"/>
              <w:left w:val="single" w:sz="4" w:space="0" w:color="auto"/>
              <w:bottom w:val="single" w:sz="4" w:space="0" w:color="auto"/>
              <w:right w:val="single" w:sz="4" w:space="0" w:color="auto"/>
            </w:tcBorders>
          </w:tcPr>
          <w:p w14:paraId="6C5EFE7D" w14:textId="77777777" w:rsidR="009B5FF6" w:rsidRPr="001B4EE2" w:rsidRDefault="009B5FF6" w:rsidP="00D469B5">
            <w:pPr>
              <w:spacing w:line="256" w:lineRule="auto"/>
              <w:jc w:val="both"/>
              <w:rPr>
                <w:color w:val="000000"/>
                <w:sz w:val="22"/>
                <w:szCs w:val="22"/>
                <w:lang w:val="en-GB"/>
              </w:rPr>
            </w:pPr>
          </w:p>
          <w:p w14:paraId="1355FBFF" w14:textId="77777777" w:rsidR="009B5FF6" w:rsidRPr="001B4EE2" w:rsidRDefault="009B5FF6" w:rsidP="00D469B5">
            <w:pPr>
              <w:spacing w:line="256" w:lineRule="auto"/>
              <w:jc w:val="both"/>
              <w:rPr>
                <w:color w:val="000000"/>
                <w:sz w:val="22"/>
                <w:szCs w:val="22"/>
                <w:lang w:val="en-GB"/>
              </w:rPr>
            </w:pPr>
            <w:r w:rsidRPr="001B4EE2">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64B11F68" w14:textId="77777777" w:rsidR="009B5FF6" w:rsidRPr="001B4EE2" w:rsidRDefault="009B5FF6" w:rsidP="00D469B5">
            <w:pPr>
              <w:spacing w:line="256" w:lineRule="auto"/>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7A0EB457" w14:textId="77777777" w:rsidR="009B5FF6" w:rsidRPr="001B4EE2" w:rsidRDefault="009B5FF6" w:rsidP="00D469B5">
            <w:pPr>
              <w:spacing w:line="256" w:lineRule="auto"/>
              <w:jc w:val="both"/>
              <w:rPr>
                <w:color w:val="000000"/>
                <w:sz w:val="22"/>
                <w:szCs w:val="22"/>
                <w:lang w:val="en-GB"/>
              </w:rPr>
            </w:pPr>
            <w:r w:rsidRPr="001B4EE2">
              <w:rPr>
                <w:color w:val="000000"/>
                <w:sz w:val="22"/>
                <w:szCs w:val="22"/>
                <w:lang w:val="en-GB"/>
              </w:rPr>
              <w:t>AGAINST</w:t>
            </w:r>
          </w:p>
        </w:tc>
        <w:tc>
          <w:tcPr>
            <w:tcW w:w="1653" w:type="dxa"/>
            <w:tcBorders>
              <w:top w:val="single" w:sz="4" w:space="0" w:color="auto"/>
              <w:left w:val="nil"/>
              <w:bottom w:val="single" w:sz="4" w:space="0" w:color="auto"/>
              <w:right w:val="single" w:sz="4" w:space="0" w:color="auto"/>
            </w:tcBorders>
            <w:noWrap/>
            <w:vAlign w:val="bottom"/>
            <w:hideMark/>
          </w:tcPr>
          <w:p w14:paraId="21296C76" w14:textId="77777777" w:rsidR="009B5FF6" w:rsidRPr="001B4EE2" w:rsidRDefault="009B5FF6" w:rsidP="00D469B5">
            <w:pPr>
              <w:spacing w:line="256" w:lineRule="auto"/>
              <w:jc w:val="both"/>
              <w:rPr>
                <w:color w:val="000000"/>
                <w:sz w:val="22"/>
                <w:szCs w:val="22"/>
                <w:lang w:val="en-GB"/>
              </w:rPr>
            </w:pPr>
            <w:r w:rsidRPr="001B4EE2">
              <w:rPr>
                <w:color w:val="000000"/>
                <w:sz w:val="22"/>
                <w:szCs w:val="22"/>
                <w:lang w:val="en-GB"/>
              </w:rPr>
              <w:t> ABSTENTION</w:t>
            </w:r>
          </w:p>
        </w:tc>
      </w:tr>
      <w:tr w:rsidR="009B5FF6" w:rsidRPr="001B4EE2" w14:paraId="3392B1AA" w14:textId="77777777" w:rsidTr="00D469B5">
        <w:trPr>
          <w:trHeight w:val="300"/>
        </w:trPr>
        <w:tc>
          <w:tcPr>
            <w:tcW w:w="1856" w:type="dxa"/>
            <w:tcBorders>
              <w:top w:val="nil"/>
              <w:left w:val="single" w:sz="4" w:space="0" w:color="auto"/>
              <w:bottom w:val="single" w:sz="4" w:space="0" w:color="auto"/>
              <w:right w:val="single" w:sz="4" w:space="0" w:color="auto"/>
            </w:tcBorders>
            <w:hideMark/>
          </w:tcPr>
          <w:p w14:paraId="2CEE053E" w14:textId="77777777" w:rsidR="009B5FF6" w:rsidRPr="001B4EE2" w:rsidRDefault="009B5FF6" w:rsidP="009B5FF6">
            <w:pPr>
              <w:numPr>
                <w:ilvl w:val="0"/>
                <w:numId w:val="16"/>
              </w:numPr>
              <w:spacing w:line="256" w:lineRule="auto"/>
              <w:ind w:left="270" w:hanging="270"/>
              <w:jc w:val="both"/>
              <w:rPr>
                <w:sz w:val="22"/>
                <w:szCs w:val="22"/>
                <w:lang w:val="ro-RO"/>
              </w:rPr>
            </w:pPr>
            <w:r>
              <w:t>Petrus Antonius Maria Jansen</w:t>
            </w:r>
          </w:p>
        </w:tc>
        <w:tc>
          <w:tcPr>
            <w:tcW w:w="959" w:type="dxa"/>
            <w:tcBorders>
              <w:top w:val="nil"/>
              <w:left w:val="single" w:sz="4" w:space="0" w:color="auto"/>
              <w:bottom w:val="single" w:sz="4" w:space="0" w:color="auto"/>
              <w:right w:val="single" w:sz="4" w:space="0" w:color="auto"/>
            </w:tcBorders>
            <w:noWrap/>
            <w:vAlign w:val="bottom"/>
            <w:hideMark/>
          </w:tcPr>
          <w:p w14:paraId="424BDEE2" w14:textId="77777777" w:rsidR="009B5FF6" w:rsidRPr="001B4EE2" w:rsidRDefault="009B5FF6" w:rsidP="00D469B5">
            <w:pPr>
              <w:spacing w:line="256" w:lineRule="auto"/>
              <w:jc w:val="both"/>
              <w:rPr>
                <w:color w:val="000000"/>
                <w:sz w:val="22"/>
                <w:szCs w:val="22"/>
                <w:lang w:val="en-GB"/>
              </w:rPr>
            </w:pPr>
            <w:r w:rsidRPr="003F0849">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73B26940" w14:textId="77777777" w:rsidR="009B5FF6" w:rsidRPr="001B4EE2" w:rsidRDefault="009B5FF6" w:rsidP="00D469B5">
            <w:pPr>
              <w:spacing w:line="256" w:lineRule="auto"/>
              <w:jc w:val="both"/>
              <w:rPr>
                <w:color w:val="000000"/>
                <w:sz w:val="22"/>
                <w:szCs w:val="22"/>
                <w:lang w:val="en-GB"/>
              </w:rPr>
            </w:pPr>
            <w:r w:rsidRPr="003F0849">
              <w:rPr>
                <w:color w:val="000000"/>
                <w:sz w:val="22"/>
                <w:szCs w:val="22"/>
                <w:lang w:val="en-GB"/>
              </w:rPr>
              <w:t> </w:t>
            </w:r>
          </w:p>
        </w:tc>
        <w:tc>
          <w:tcPr>
            <w:tcW w:w="1653" w:type="dxa"/>
            <w:tcBorders>
              <w:top w:val="nil"/>
              <w:left w:val="nil"/>
              <w:bottom w:val="single" w:sz="4" w:space="0" w:color="auto"/>
              <w:right w:val="single" w:sz="4" w:space="0" w:color="auto"/>
            </w:tcBorders>
            <w:noWrap/>
            <w:vAlign w:val="bottom"/>
            <w:hideMark/>
          </w:tcPr>
          <w:p w14:paraId="1E7CC4B2" w14:textId="77777777" w:rsidR="009B5FF6" w:rsidRPr="001B4EE2" w:rsidRDefault="009B5FF6" w:rsidP="00D469B5">
            <w:pPr>
              <w:spacing w:line="256" w:lineRule="auto"/>
              <w:jc w:val="both"/>
              <w:rPr>
                <w:color w:val="000000"/>
                <w:sz w:val="22"/>
                <w:szCs w:val="22"/>
                <w:lang w:val="en-GB"/>
              </w:rPr>
            </w:pPr>
            <w:r w:rsidRPr="003F0849">
              <w:rPr>
                <w:color w:val="000000"/>
                <w:sz w:val="22"/>
                <w:szCs w:val="22"/>
                <w:lang w:val="en-GB"/>
              </w:rPr>
              <w:t> </w:t>
            </w:r>
          </w:p>
        </w:tc>
      </w:tr>
      <w:tr w:rsidR="009B5FF6" w:rsidRPr="001B4EE2" w14:paraId="02BA4337" w14:textId="77777777" w:rsidTr="00D469B5">
        <w:trPr>
          <w:trHeight w:val="300"/>
        </w:trPr>
        <w:tc>
          <w:tcPr>
            <w:tcW w:w="1856" w:type="dxa"/>
            <w:tcBorders>
              <w:top w:val="nil"/>
              <w:left w:val="single" w:sz="4" w:space="0" w:color="auto"/>
              <w:bottom w:val="single" w:sz="4" w:space="0" w:color="auto"/>
              <w:right w:val="single" w:sz="4" w:space="0" w:color="auto"/>
            </w:tcBorders>
            <w:hideMark/>
          </w:tcPr>
          <w:p w14:paraId="1DB687CC" w14:textId="77777777" w:rsidR="009B5FF6" w:rsidRPr="001B4EE2" w:rsidRDefault="009B5FF6" w:rsidP="009B5FF6">
            <w:pPr>
              <w:numPr>
                <w:ilvl w:val="0"/>
                <w:numId w:val="16"/>
              </w:numPr>
              <w:spacing w:line="256" w:lineRule="auto"/>
              <w:ind w:left="270" w:hanging="270"/>
              <w:jc w:val="both"/>
              <w:rPr>
                <w:sz w:val="22"/>
                <w:szCs w:val="22"/>
                <w:lang w:val="ro-RO"/>
              </w:rPr>
            </w:pPr>
            <w:r>
              <w:t xml:space="preserve">Martin Bernstein </w:t>
            </w:r>
          </w:p>
        </w:tc>
        <w:tc>
          <w:tcPr>
            <w:tcW w:w="959" w:type="dxa"/>
            <w:tcBorders>
              <w:top w:val="nil"/>
              <w:left w:val="single" w:sz="4" w:space="0" w:color="auto"/>
              <w:bottom w:val="single" w:sz="4" w:space="0" w:color="auto"/>
              <w:right w:val="single" w:sz="4" w:space="0" w:color="auto"/>
            </w:tcBorders>
            <w:noWrap/>
            <w:vAlign w:val="bottom"/>
          </w:tcPr>
          <w:p w14:paraId="7E846A0F" w14:textId="77777777" w:rsidR="009B5FF6" w:rsidRPr="001B4EE2" w:rsidRDefault="009B5FF6" w:rsidP="00D469B5">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38E5B032" w14:textId="77777777" w:rsidR="009B5FF6" w:rsidRPr="001B4EE2" w:rsidRDefault="009B5FF6" w:rsidP="00D469B5">
            <w:pPr>
              <w:spacing w:line="256" w:lineRule="auto"/>
              <w:jc w:val="both"/>
              <w:rPr>
                <w:color w:val="000000"/>
                <w:sz w:val="22"/>
                <w:szCs w:val="22"/>
                <w:lang w:val="en-GB"/>
              </w:rPr>
            </w:pPr>
          </w:p>
        </w:tc>
        <w:tc>
          <w:tcPr>
            <w:tcW w:w="1653" w:type="dxa"/>
            <w:tcBorders>
              <w:top w:val="nil"/>
              <w:left w:val="nil"/>
              <w:bottom w:val="single" w:sz="4" w:space="0" w:color="auto"/>
              <w:right w:val="single" w:sz="4" w:space="0" w:color="auto"/>
            </w:tcBorders>
            <w:noWrap/>
            <w:vAlign w:val="bottom"/>
          </w:tcPr>
          <w:p w14:paraId="5EA5339F" w14:textId="77777777" w:rsidR="009B5FF6" w:rsidRPr="001B4EE2" w:rsidRDefault="009B5FF6" w:rsidP="00D469B5">
            <w:pPr>
              <w:spacing w:line="256" w:lineRule="auto"/>
              <w:jc w:val="both"/>
              <w:rPr>
                <w:color w:val="000000"/>
                <w:sz w:val="22"/>
                <w:szCs w:val="22"/>
                <w:lang w:val="en-GB"/>
              </w:rPr>
            </w:pPr>
          </w:p>
        </w:tc>
      </w:tr>
    </w:tbl>
    <w:p w14:paraId="6911B923" w14:textId="77777777" w:rsidR="000D4D9F" w:rsidRPr="001B4EE2" w:rsidRDefault="000D4D9F" w:rsidP="000D4D9F">
      <w:pPr>
        <w:pStyle w:val="ListParagraph"/>
        <w:ind w:left="450"/>
        <w:contextualSpacing w:val="0"/>
        <w:jc w:val="both"/>
        <w:rPr>
          <w:sz w:val="22"/>
          <w:szCs w:val="22"/>
          <w:lang w:val="en-GB"/>
        </w:rPr>
      </w:pPr>
    </w:p>
    <w:p w14:paraId="67F8750A" w14:textId="74C5A8EA" w:rsidR="000D4D9F" w:rsidRPr="001B4EE2" w:rsidRDefault="000D4D9F" w:rsidP="000D4D9F">
      <w:pPr>
        <w:pStyle w:val="ListParagraph"/>
        <w:ind w:left="851"/>
        <w:jc w:val="both"/>
        <w:rPr>
          <w:i/>
          <w:iCs/>
          <w:sz w:val="22"/>
          <w:szCs w:val="22"/>
          <w:lang w:val="ro-RO" w:eastAsia="ro-RO"/>
        </w:rPr>
      </w:pPr>
      <w:r w:rsidRPr="001B4EE2">
        <w:rPr>
          <w:i/>
          <w:iCs/>
          <w:sz w:val="22"/>
          <w:szCs w:val="22"/>
          <w:lang w:val="ro-RO" w:eastAsia="ro-RO"/>
        </w:rPr>
        <w:t xml:space="preserve">Note: Please vote </w:t>
      </w:r>
      <w:r w:rsidRPr="001B4EE2">
        <w:rPr>
          <w:i/>
          <w:iCs/>
          <w:sz w:val="22"/>
          <w:szCs w:val="22"/>
          <w:lang w:val="en-GB" w:eastAsia="ro-RO"/>
        </w:rPr>
        <w:t xml:space="preserve">„FOR” for just one candidate. Voting „FOR” for more than one candidate will lead to the annulment </w:t>
      </w:r>
      <w:r w:rsidR="00C934AF" w:rsidRPr="001B4EE2">
        <w:rPr>
          <w:i/>
          <w:iCs/>
          <w:sz w:val="22"/>
          <w:szCs w:val="22"/>
          <w:lang w:val="en-GB" w:eastAsia="ro-RO"/>
        </w:rPr>
        <w:t xml:space="preserve">of the </w:t>
      </w:r>
      <w:r w:rsidR="00C934AF">
        <w:rPr>
          <w:i/>
          <w:iCs/>
          <w:sz w:val="22"/>
          <w:szCs w:val="22"/>
          <w:lang w:val="en-GB" w:eastAsia="ro-RO"/>
        </w:rPr>
        <w:t xml:space="preserve">vote </w:t>
      </w:r>
      <w:r w:rsidR="00C934AF" w:rsidRPr="00760C4B">
        <w:rPr>
          <w:i/>
          <w:iCs/>
          <w:sz w:val="22"/>
          <w:szCs w:val="22"/>
          <w:lang w:val="en-GB" w:eastAsia="ro-RO"/>
        </w:rPr>
        <w:t>on this item on the agenda</w:t>
      </w:r>
      <w:r w:rsidR="00C934AF" w:rsidRPr="001B4EE2">
        <w:rPr>
          <w:i/>
          <w:iCs/>
          <w:sz w:val="22"/>
          <w:szCs w:val="22"/>
          <w:lang w:val="en-GB" w:eastAsia="ro-RO"/>
        </w:rPr>
        <w:t xml:space="preserve"> according </w:t>
      </w:r>
      <w:r w:rsidRPr="001B4EE2">
        <w:rPr>
          <w:i/>
          <w:iCs/>
          <w:sz w:val="22"/>
          <w:szCs w:val="22"/>
          <w:lang w:val="en-GB" w:eastAsia="ro-RO"/>
        </w:rPr>
        <w:t xml:space="preserve">to the </w:t>
      </w:r>
      <w:r w:rsidRPr="001B4EE2">
        <w:rPr>
          <w:i/>
          <w:iCs/>
          <w:sz w:val="22"/>
          <w:szCs w:val="22"/>
          <w:lang w:val="en-GB"/>
        </w:rPr>
        <w:t>Procedure regarding the organization and holding of General Meetings of Shareholders, available starting with 25 February 2022 on the Company’s website</w:t>
      </w:r>
      <w:r w:rsidRPr="001B4EE2">
        <w:rPr>
          <w:i/>
          <w:iCs/>
          <w:sz w:val="22"/>
          <w:szCs w:val="22"/>
          <w:lang w:val="ro-RO" w:eastAsia="ro-RO"/>
        </w:rPr>
        <w:t>.</w:t>
      </w:r>
    </w:p>
    <w:p w14:paraId="41AEEE1A" w14:textId="77777777" w:rsidR="000D4D9F" w:rsidRPr="001B4EE2" w:rsidRDefault="000D4D9F" w:rsidP="000D4D9F">
      <w:pPr>
        <w:pStyle w:val="ListParagraph"/>
        <w:ind w:left="851"/>
        <w:jc w:val="both"/>
        <w:rPr>
          <w:i/>
          <w:iCs/>
          <w:sz w:val="22"/>
          <w:szCs w:val="22"/>
          <w:lang w:val="ro-RO" w:eastAsia="ro-RO"/>
        </w:rPr>
      </w:pPr>
    </w:p>
    <w:p w14:paraId="571B1D29"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6, respectively, the approval to cover, from other reserves, the negative reserves of RON </w:t>
      </w:r>
      <w:bookmarkStart w:id="2" w:name="_Hlk93399029"/>
      <w:r w:rsidRPr="001B4EE2">
        <w:rPr>
          <w:sz w:val="22"/>
          <w:szCs w:val="22"/>
          <w:lang w:val="en-GB"/>
        </w:rPr>
        <w:t>671,941,938</w:t>
      </w:r>
      <w:bookmarkEnd w:id="2"/>
      <w:r w:rsidRPr="001B4EE2">
        <w:rPr>
          <w:sz w:val="22"/>
          <w:szCs w:val="22"/>
          <w:lang w:val="en-GB"/>
        </w:rPr>
        <w:t xml:space="preserve"> arising out of the cancellation on 28 October 2021 of the treasury shares acquired during 2020 through the eleventh buy-back programme, in accordance with the supporting materials. </w:t>
      </w:r>
    </w:p>
    <w:p w14:paraId="463AA508"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17E2B476"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9F667"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CEA6BC"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8DF418E"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259FBC9D"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F31DE78"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3085FF"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B9170C3"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7C13895B" w14:textId="77777777" w:rsidR="000D4D9F" w:rsidRPr="001B4EE2" w:rsidRDefault="000D4D9F" w:rsidP="000D4D9F">
      <w:pPr>
        <w:pStyle w:val="ListParagraph"/>
        <w:ind w:left="450"/>
        <w:jc w:val="both"/>
        <w:rPr>
          <w:color w:val="1F497D"/>
          <w:sz w:val="22"/>
          <w:szCs w:val="22"/>
          <w:lang w:val="en-GB"/>
        </w:rPr>
      </w:pPr>
    </w:p>
    <w:p w14:paraId="14895C5A"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74A89892" w14:textId="77777777" w:rsidR="000D4D9F" w:rsidRPr="001B4EE2" w:rsidRDefault="000D4D9F" w:rsidP="000D4D9F">
      <w:pPr>
        <w:pStyle w:val="ListParagraph"/>
        <w:ind w:left="360"/>
        <w:contextualSpacing w:val="0"/>
        <w:jc w:val="both"/>
        <w:rPr>
          <w:sz w:val="22"/>
          <w:szCs w:val="22"/>
          <w:lang w:val="en-GB"/>
        </w:rPr>
      </w:pPr>
    </w:p>
    <w:p w14:paraId="02F21BDE" w14:textId="391B975A" w:rsidR="000D4D9F"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 xml:space="preserve">For item 7, respectively, the approval to allocate to other reserves an amount of RON 230,576,693 </w:t>
      </w:r>
      <w:r w:rsidRPr="001B4EE2">
        <w:rPr>
          <w:rFonts w:eastAsia="Calibri"/>
          <w:sz w:val="22"/>
          <w:szCs w:val="22"/>
          <w:lang w:val="en-GB"/>
        </w:rPr>
        <w:t>from the 2021 net accounting profit</w:t>
      </w:r>
      <w:r w:rsidRPr="001B4EE2">
        <w:rPr>
          <w:sz w:val="22"/>
          <w:szCs w:val="22"/>
          <w:lang w:val="en-GB"/>
        </w:rPr>
        <w:t xml:space="preserve"> to be used for covering the negative reserves estimated to arise from the cancellation of treasury shares acquired during 2021 through the twelfth buy-back programme, in accordance with the supporting materials.</w:t>
      </w:r>
    </w:p>
    <w:p w14:paraId="728A29F7" w14:textId="77777777" w:rsidR="00B54423" w:rsidRPr="001B4EE2" w:rsidRDefault="00B54423" w:rsidP="00B54423">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8EB66EE"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3CCD2"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755E79"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EB60BB2"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05042169"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9D8B7CC"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1014F5"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600BA9F"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0A825CBD" w14:textId="77777777" w:rsidR="000D4D9F" w:rsidRPr="001B4EE2" w:rsidRDefault="000D4D9F" w:rsidP="000D4D9F">
      <w:pPr>
        <w:pStyle w:val="ListParagraph"/>
        <w:ind w:left="450"/>
        <w:jc w:val="both"/>
        <w:rPr>
          <w:color w:val="1F497D"/>
          <w:sz w:val="22"/>
          <w:szCs w:val="22"/>
          <w:lang w:val="en-GB"/>
        </w:rPr>
      </w:pPr>
    </w:p>
    <w:p w14:paraId="462C7CDA"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33BE87E5" w14:textId="77777777" w:rsidR="000D4D9F" w:rsidRPr="001B4EE2" w:rsidRDefault="000D4D9F" w:rsidP="000D4D9F">
      <w:pPr>
        <w:pStyle w:val="ListParagraph"/>
        <w:ind w:left="360"/>
        <w:jc w:val="both"/>
        <w:rPr>
          <w:i/>
          <w:sz w:val="22"/>
          <w:szCs w:val="22"/>
          <w:lang w:val="en-GB" w:eastAsia="ro-RO"/>
        </w:rPr>
      </w:pPr>
    </w:p>
    <w:p w14:paraId="2F7027B8" w14:textId="77777777" w:rsidR="000D4D9F" w:rsidRPr="001B4EE2" w:rsidRDefault="000D4D9F" w:rsidP="000D4D9F">
      <w:pPr>
        <w:pStyle w:val="ListParagraph"/>
        <w:numPr>
          <w:ilvl w:val="0"/>
          <w:numId w:val="9"/>
        </w:numPr>
        <w:ind w:left="360"/>
        <w:contextualSpacing w:val="0"/>
        <w:jc w:val="both"/>
        <w:rPr>
          <w:rFonts w:eastAsia="Calibri"/>
          <w:sz w:val="22"/>
          <w:szCs w:val="22"/>
          <w:lang w:val="en-GB"/>
        </w:rPr>
      </w:pPr>
      <w:r w:rsidRPr="001B4EE2">
        <w:rPr>
          <w:sz w:val="22"/>
          <w:szCs w:val="22"/>
          <w:lang w:val="en-GB"/>
        </w:rPr>
        <w:t xml:space="preserve">For item 8, respectively, </w:t>
      </w:r>
      <w:r w:rsidRPr="001B4EE2">
        <w:rPr>
          <w:rFonts w:eastAsia="Calibri"/>
          <w:sz w:val="22"/>
          <w:szCs w:val="22"/>
          <w:lang w:val="en-GB"/>
        </w:rPr>
        <w:t xml:space="preserve">the approval of the 2021 remaining net accounting profit allocation, including the approval of the distribution of an annual gross dividend of RON 0.1250 per share from the 2021 net accounting profit, all in accordance with the supporting documentation. If the 2021 net accounting profit allocation and the dividend distribution proposal above-mentioned are approved, the shareholders further approve that the payment of the above dividends to start on the Payment Date of this OGM (as defined at point 10 of this OGM) to the persons registered as shareholders of Fondul Proprietatea on the Registration Date (as defined at point 10 of this OGM). Unpaid shares and treasury shares do not constitute dividend entitlement. </w:t>
      </w:r>
    </w:p>
    <w:p w14:paraId="7CB09B47" w14:textId="77777777" w:rsidR="000D4D9F" w:rsidRPr="001B4EE2" w:rsidRDefault="000D4D9F" w:rsidP="000D4D9F">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499CC310"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E00A"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3CB32D"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3B2B37F"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4D816816"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DF411EF"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60BE7D"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57891E3"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7882FDCA" w14:textId="77777777" w:rsidR="000D4D9F" w:rsidRPr="001B4EE2" w:rsidRDefault="000D4D9F" w:rsidP="000D4D9F">
      <w:pPr>
        <w:pStyle w:val="ListParagraph"/>
        <w:ind w:left="450"/>
        <w:jc w:val="both"/>
        <w:rPr>
          <w:color w:val="1F497D"/>
          <w:sz w:val="22"/>
          <w:szCs w:val="22"/>
          <w:lang w:val="en-GB"/>
        </w:rPr>
      </w:pPr>
    </w:p>
    <w:p w14:paraId="544F1A81"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79B8A4E5" w14:textId="77777777" w:rsidR="000D4D9F" w:rsidRPr="001B4EE2" w:rsidRDefault="000D4D9F" w:rsidP="000D4D9F">
      <w:pPr>
        <w:pStyle w:val="ListParagraph"/>
        <w:ind w:left="360"/>
        <w:contextualSpacing w:val="0"/>
        <w:jc w:val="both"/>
        <w:rPr>
          <w:sz w:val="22"/>
          <w:szCs w:val="22"/>
          <w:lang w:val="en-GB"/>
        </w:rPr>
      </w:pPr>
    </w:p>
    <w:p w14:paraId="3B9AE3D2" w14:textId="77777777" w:rsidR="000D4D9F" w:rsidRPr="001B4EE2" w:rsidRDefault="000D4D9F" w:rsidP="000D4D9F">
      <w:pPr>
        <w:pStyle w:val="ListParagraph"/>
        <w:numPr>
          <w:ilvl w:val="0"/>
          <w:numId w:val="9"/>
        </w:numPr>
        <w:ind w:left="360"/>
        <w:contextualSpacing w:val="0"/>
        <w:jc w:val="both"/>
        <w:rPr>
          <w:sz w:val="22"/>
          <w:szCs w:val="22"/>
          <w:lang w:val="en-GB"/>
        </w:rPr>
      </w:pPr>
      <w:r w:rsidRPr="001B4EE2">
        <w:rPr>
          <w:sz w:val="22"/>
          <w:szCs w:val="22"/>
          <w:lang w:val="en-GB"/>
        </w:rPr>
        <w:t>For item 9, respectively, the approval of the additional fees amounting to EUR 17,550 incurred by Deloitte Audit S.R.L. with its headquarters in Bucharest, 1st District, 84-98 and 100- 102 Calea Griviței, The Mark Building, 8th and 9th floors, registered with the Trade Registry under no. J40/6775/1995, Sole Registration Number RO7756924, as the financial auditor of Fondul Proprietatea, in accordance with the supporting materials.</w:t>
      </w:r>
    </w:p>
    <w:p w14:paraId="4022C83B" w14:textId="77777777" w:rsidR="000D4D9F" w:rsidRPr="001B4EE2" w:rsidRDefault="000D4D9F" w:rsidP="000D4D9F">
      <w:pPr>
        <w:pStyle w:val="ListParagraph"/>
        <w:ind w:left="360"/>
        <w:contextualSpacing w:val="0"/>
        <w:jc w:val="both"/>
        <w:rPr>
          <w:rFonts w:eastAsia="Calibri"/>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78BCB135"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4A37"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F3DE18"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E9C2ECF"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5652EE91"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9E741C0"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D25A90"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BE90AE0"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6971D8C" w14:textId="77777777" w:rsidR="000D4D9F" w:rsidRPr="001B4EE2" w:rsidRDefault="000D4D9F" w:rsidP="000D4D9F">
      <w:pPr>
        <w:pStyle w:val="ListParagraph"/>
        <w:ind w:left="450"/>
        <w:jc w:val="both"/>
        <w:rPr>
          <w:color w:val="1F497D"/>
          <w:sz w:val="22"/>
          <w:szCs w:val="22"/>
          <w:lang w:val="en-GB"/>
        </w:rPr>
      </w:pPr>
    </w:p>
    <w:p w14:paraId="2E555AC7"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1B8852BF" w14:textId="77777777" w:rsidR="000D4D9F" w:rsidRPr="001B4EE2" w:rsidRDefault="000D4D9F" w:rsidP="000D4D9F">
      <w:pPr>
        <w:pStyle w:val="ListParagraph"/>
        <w:ind w:left="360"/>
        <w:contextualSpacing w:val="0"/>
        <w:jc w:val="both"/>
        <w:rPr>
          <w:rFonts w:eastAsia="Calibri"/>
          <w:sz w:val="22"/>
          <w:szCs w:val="22"/>
          <w:lang w:val="en-GB"/>
        </w:rPr>
      </w:pPr>
    </w:p>
    <w:p w14:paraId="57DB23AE" w14:textId="3978D381" w:rsidR="000D4D9F" w:rsidRDefault="000D4D9F" w:rsidP="000D4D9F">
      <w:pPr>
        <w:pStyle w:val="ListParagraph"/>
        <w:numPr>
          <w:ilvl w:val="0"/>
          <w:numId w:val="9"/>
        </w:numPr>
        <w:ind w:left="360"/>
        <w:contextualSpacing w:val="0"/>
        <w:jc w:val="both"/>
        <w:rPr>
          <w:sz w:val="22"/>
          <w:szCs w:val="22"/>
          <w:lang w:val="en-GB"/>
        </w:rPr>
      </w:pPr>
      <w:r w:rsidRPr="00872F6F">
        <w:rPr>
          <w:sz w:val="22"/>
          <w:szCs w:val="22"/>
          <w:lang w:val="en-GB"/>
        </w:rPr>
        <w:t xml:space="preserve">For item 10 on the agenda, respectively, the approval of: </w:t>
      </w:r>
    </w:p>
    <w:p w14:paraId="6B56CF8E" w14:textId="77777777" w:rsidR="00B54423" w:rsidRPr="00872F6F" w:rsidRDefault="00B54423" w:rsidP="00B54423">
      <w:pPr>
        <w:pStyle w:val="ListParagraph"/>
        <w:ind w:left="360"/>
        <w:contextualSpacing w:val="0"/>
        <w:jc w:val="both"/>
        <w:rPr>
          <w:sz w:val="22"/>
          <w:szCs w:val="22"/>
          <w:lang w:val="en-GB"/>
        </w:rPr>
      </w:pPr>
    </w:p>
    <w:p w14:paraId="22180372" w14:textId="77777777" w:rsidR="000D4D9F" w:rsidRPr="00872F6F" w:rsidRDefault="000D4D9F" w:rsidP="000D4D9F">
      <w:pPr>
        <w:pStyle w:val="ListParagraph"/>
        <w:numPr>
          <w:ilvl w:val="0"/>
          <w:numId w:val="26"/>
        </w:numPr>
        <w:ind w:left="540"/>
        <w:contextualSpacing w:val="0"/>
        <w:jc w:val="both"/>
        <w:rPr>
          <w:sz w:val="22"/>
          <w:szCs w:val="22"/>
          <w:lang w:val="en-GB"/>
        </w:rPr>
      </w:pPr>
      <w:r w:rsidRPr="00872F6F">
        <w:rPr>
          <w:sz w:val="22"/>
          <w:szCs w:val="22"/>
          <w:lang w:val="en-GB"/>
        </w:rPr>
        <w:t xml:space="preserve">The date of </w:t>
      </w:r>
      <w:r w:rsidRPr="00872F6F">
        <w:rPr>
          <w:b/>
          <w:bCs/>
          <w:sz w:val="22"/>
          <w:szCs w:val="22"/>
          <w:lang w:val="en-GB"/>
        </w:rPr>
        <w:t>2 June 2022</w:t>
      </w:r>
      <w:r w:rsidRPr="00872F6F">
        <w:rPr>
          <w:sz w:val="22"/>
          <w:szCs w:val="22"/>
          <w:lang w:val="en-GB"/>
        </w:rPr>
        <w:t xml:space="preserve"> as the </w:t>
      </w:r>
      <w:r w:rsidRPr="00872F6F">
        <w:rPr>
          <w:b/>
          <w:bCs/>
          <w:i/>
          <w:iCs/>
          <w:sz w:val="22"/>
          <w:szCs w:val="22"/>
          <w:lang w:val="en-GB"/>
        </w:rPr>
        <w:t>Ex – Date</w:t>
      </w:r>
      <w:r w:rsidRPr="00872F6F">
        <w:rPr>
          <w:sz w:val="22"/>
          <w:szCs w:val="22"/>
          <w:lang w:val="en-GB"/>
        </w:rPr>
        <w:t xml:space="preserve">, in accordance with Article 176 paragraph (1), computed with the provisions of Article 2 paragraph (2) letter (l) of Regulation no. 5/2018; and of </w:t>
      </w:r>
    </w:p>
    <w:p w14:paraId="0E48F65F" w14:textId="77777777" w:rsidR="000D4D9F" w:rsidRPr="00872F6F" w:rsidRDefault="000D4D9F" w:rsidP="000D4D9F">
      <w:pPr>
        <w:pStyle w:val="ListParagraph"/>
        <w:jc w:val="both"/>
        <w:rPr>
          <w:sz w:val="22"/>
          <w:szCs w:val="22"/>
          <w:lang w:val="en-GB"/>
        </w:rPr>
      </w:pPr>
    </w:p>
    <w:p w14:paraId="202058B4" w14:textId="77777777" w:rsidR="000D4D9F" w:rsidRPr="00872F6F" w:rsidRDefault="000D4D9F" w:rsidP="000D4D9F">
      <w:pPr>
        <w:pStyle w:val="ListParagraph"/>
        <w:ind w:left="630"/>
        <w:jc w:val="both"/>
        <w:rPr>
          <w:sz w:val="22"/>
          <w:szCs w:val="22"/>
          <w:lang w:val="en-GB"/>
        </w:rPr>
      </w:pPr>
      <w:r w:rsidRPr="00872F6F">
        <w:rPr>
          <w:sz w:val="22"/>
          <w:szCs w:val="22"/>
          <w:lang w:val="en-GB"/>
        </w:rPr>
        <w:t xml:space="preserve">The date of </w:t>
      </w:r>
      <w:r w:rsidRPr="00872F6F">
        <w:rPr>
          <w:b/>
          <w:bCs/>
          <w:sz w:val="22"/>
          <w:szCs w:val="22"/>
          <w:lang w:val="en-GB"/>
        </w:rPr>
        <w:t>3 June 2022</w:t>
      </w:r>
      <w:r w:rsidRPr="00872F6F">
        <w:rPr>
          <w:sz w:val="22"/>
          <w:szCs w:val="22"/>
          <w:lang w:val="en-GB"/>
        </w:rPr>
        <w:t xml:space="preserve"> as the </w:t>
      </w:r>
      <w:r w:rsidRPr="00872F6F">
        <w:rPr>
          <w:b/>
          <w:bCs/>
          <w:sz w:val="22"/>
          <w:szCs w:val="22"/>
          <w:lang w:val="en-GB"/>
        </w:rPr>
        <w:t>Registration Date</w:t>
      </w:r>
      <w:r w:rsidRPr="00872F6F">
        <w:rPr>
          <w:sz w:val="22"/>
          <w:szCs w:val="22"/>
          <w:lang w:val="en-GB"/>
        </w:rPr>
        <w:t xml:space="preserve">, in accordance with Article 176 paragraph (1) of Regulation no. 5/2018, computed with the provisions of Article 87 paragraph (1) of Issuers’ Law. </w:t>
      </w:r>
    </w:p>
    <w:p w14:paraId="13F7C217" w14:textId="77777777" w:rsidR="000D4D9F" w:rsidRPr="00872F6F" w:rsidRDefault="000D4D9F" w:rsidP="000D4D9F">
      <w:pPr>
        <w:pStyle w:val="ListParagraph"/>
        <w:jc w:val="both"/>
        <w:rPr>
          <w:sz w:val="22"/>
          <w:szCs w:val="22"/>
          <w:lang w:val="en-GB"/>
        </w:rPr>
      </w:pPr>
    </w:p>
    <w:p w14:paraId="22DDB7E3" w14:textId="77777777" w:rsidR="000D4D9F" w:rsidRPr="00872F6F" w:rsidRDefault="000D4D9F" w:rsidP="000D4D9F">
      <w:pPr>
        <w:pStyle w:val="ListParagraph"/>
        <w:ind w:left="630"/>
        <w:jc w:val="both"/>
        <w:rPr>
          <w:sz w:val="22"/>
          <w:szCs w:val="22"/>
          <w:lang w:val="en-GB"/>
        </w:rPr>
      </w:pPr>
      <w:r w:rsidRPr="00872F6F">
        <w:rPr>
          <w:sz w:val="22"/>
          <w:szCs w:val="22"/>
          <w:lang w:val="en-GB"/>
        </w:rPr>
        <w:t xml:space="preserve">The date of </w:t>
      </w:r>
      <w:r w:rsidRPr="00872F6F">
        <w:rPr>
          <w:b/>
          <w:bCs/>
          <w:sz w:val="22"/>
          <w:szCs w:val="22"/>
          <w:lang w:val="en-GB"/>
        </w:rPr>
        <w:t>27 June 2022</w:t>
      </w:r>
      <w:r w:rsidRPr="00872F6F">
        <w:rPr>
          <w:sz w:val="22"/>
          <w:szCs w:val="22"/>
          <w:lang w:val="en-GB"/>
        </w:rPr>
        <w:t xml:space="preserve"> as the </w:t>
      </w:r>
      <w:r w:rsidRPr="00872F6F">
        <w:rPr>
          <w:b/>
          <w:bCs/>
          <w:sz w:val="22"/>
          <w:szCs w:val="22"/>
          <w:lang w:val="en-GB"/>
        </w:rPr>
        <w:t>Payment Date</w:t>
      </w:r>
      <w:r w:rsidRPr="00872F6F">
        <w:rPr>
          <w:sz w:val="22"/>
          <w:szCs w:val="22"/>
          <w:lang w:val="en-GB"/>
        </w:rPr>
        <w:t>, in accordance with Article 178 paragraph (2) of Regulation no. 5/2018, computed with the provisions of Article 87 paragraph (2) of Issuers’ Law.</w:t>
      </w:r>
    </w:p>
    <w:p w14:paraId="2EE4368A" w14:textId="77777777" w:rsidR="000D4D9F" w:rsidRPr="00872F6F" w:rsidRDefault="000D4D9F" w:rsidP="000D4D9F">
      <w:pPr>
        <w:pStyle w:val="ListParagraph"/>
        <w:jc w:val="both"/>
        <w:rPr>
          <w:sz w:val="22"/>
          <w:szCs w:val="22"/>
          <w:lang w:val="en-GB"/>
        </w:rPr>
      </w:pPr>
    </w:p>
    <w:p w14:paraId="040D1305" w14:textId="77D35457" w:rsidR="000D4D9F" w:rsidRDefault="000D4D9F" w:rsidP="000D4D9F">
      <w:pPr>
        <w:pStyle w:val="ListParagraph"/>
        <w:ind w:left="630"/>
        <w:jc w:val="both"/>
        <w:rPr>
          <w:sz w:val="22"/>
          <w:szCs w:val="22"/>
          <w:lang w:val="en-GB"/>
        </w:rPr>
      </w:pPr>
      <w:r w:rsidRPr="00872F6F">
        <w:rPr>
          <w:sz w:val="22"/>
          <w:szCs w:val="22"/>
          <w:lang w:val="en-GB"/>
        </w:rPr>
        <w:t xml:space="preserve">As they are not applicable to this OGM, the shareholders do not decide on the other aspects provided by Article 176 paragraph (1) of Regulation no. 5/2018 such as date of the guaranteed participation. </w:t>
      </w:r>
    </w:p>
    <w:p w14:paraId="01577C0E" w14:textId="77777777" w:rsidR="00ED129C" w:rsidRPr="00872F6F" w:rsidRDefault="00ED129C" w:rsidP="000D4D9F">
      <w:pPr>
        <w:pStyle w:val="ListParagraph"/>
        <w:ind w:left="630"/>
        <w:jc w:val="both"/>
        <w:rPr>
          <w:sz w:val="22"/>
          <w:szCs w:val="22"/>
          <w:lang w:val="en-GB"/>
        </w:rPr>
      </w:pPr>
    </w:p>
    <w:p w14:paraId="049F53DA" w14:textId="77777777" w:rsidR="000D4D9F" w:rsidRPr="00872F6F" w:rsidRDefault="000D4D9F" w:rsidP="000D4D9F">
      <w:pPr>
        <w:pStyle w:val="ListParagraph"/>
        <w:numPr>
          <w:ilvl w:val="0"/>
          <w:numId w:val="26"/>
        </w:numPr>
        <w:ind w:left="540"/>
        <w:contextualSpacing w:val="0"/>
        <w:jc w:val="both"/>
        <w:rPr>
          <w:sz w:val="22"/>
          <w:szCs w:val="22"/>
          <w:lang w:val="en-GB"/>
        </w:rPr>
      </w:pPr>
      <w:r w:rsidRPr="00872F6F">
        <w:rPr>
          <w:sz w:val="22"/>
          <w:szCs w:val="22"/>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6F608C0A" w14:textId="77777777" w:rsidR="000D4D9F" w:rsidRPr="001B4EE2" w:rsidRDefault="000D4D9F" w:rsidP="000D4D9F">
      <w:pPr>
        <w:pStyle w:val="ListParagraph"/>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0D4D9F" w:rsidRPr="001B4EE2" w14:paraId="31179060"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3E29" w14:textId="77777777" w:rsidR="000D4D9F" w:rsidRPr="001B4EE2" w:rsidRDefault="000D4D9F" w:rsidP="001171D9">
            <w:pPr>
              <w:jc w:val="both"/>
              <w:rPr>
                <w:color w:val="000000"/>
                <w:sz w:val="22"/>
                <w:szCs w:val="22"/>
                <w:lang w:val="en-GB"/>
              </w:rPr>
            </w:pPr>
            <w:r w:rsidRPr="001B4EE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2A5B4" w14:textId="77777777" w:rsidR="000D4D9F" w:rsidRPr="001B4EE2" w:rsidRDefault="000D4D9F" w:rsidP="001171D9">
            <w:pPr>
              <w:jc w:val="both"/>
              <w:rPr>
                <w:color w:val="000000"/>
                <w:sz w:val="22"/>
                <w:szCs w:val="22"/>
                <w:lang w:val="en-GB"/>
              </w:rPr>
            </w:pPr>
            <w:r w:rsidRPr="001B4EE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09BB911" w14:textId="77777777" w:rsidR="000D4D9F" w:rsidRPr="001B4EE2" w:rsidRDefault="000D4D9F" w:rsidP="001171D9">
            <w:pPr>
              <w:jc w:val="both"/>
              <w:rPr>
                <w:color w:val="000000"/>
                <w:sz w:val="22"/>
                <w:szCs w:val="22"/>
                <w:lang w:val="en-GB"/>
              </w:rPr>
            </w:pPr>
            <w:r w:rsidRPr="001B4EE2">
              <w:rPr>
                <w:color w:val="000000"/>
                <w:sz w:val="22"/>
                <w:szCs w:val="22"/>
                <w:lang w:val="en-GB"/>
              </w:rPr>
              <w:t> ABSTENTION</w:t>
            </w:r>
          </w:p>
        </w:tc>
      </w:tr>
      <w:tr w:rsidR="000D4D9F" w:rsidRPr="001B4EE2" w14:paraId="4943E270"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00A8C7D"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BC7A8A"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5CB5E5F5" w14:textId="77777777" w:rsidR="000D4D9F" w:rsidRPr="001B4EE2" w:rsidRDefault="000D4D9F" w:rsidP="001171D9">
            <w:pPr>
              <w:jc w:val="both"/>
              <w:rPr>
                <w:color w:val="000000"/>
                <w:sz w:val="22"/>
                <w:szCs w:val="22"/>
                <w:lang w:val="en-GB"/>
              </w:rPr>
            </w:pPr>
            <w:r w:rsidRPr="001B4EE2">
              <w:rPr>
                <w:color w:val="000000"/>
                <w:sz w:val="22"/>
                <w:szCs w:val="22"/>
                <w:lang w:val="en-GB"/>
              </w:rPr>
              <w:t> </w:t>
            </w:r>
          </w:p>
        </w:tc>
      </w:tr>
    </w:tbl>
    <w:p w14:paraId="4C52B4E2" w14:textId="77777777" w:rsidR="000D4D9F" w:rsidRPr="001B4EE2" w:rsidRDefault="000D4D9F" w:rsidP="000D4D9F">
      <w:pPr>
        <w:pStyle w:val="ListParagraph"/>
        <w:jc w:val="both"/>
        <w:rPr>
          <w:color w:val="1F497D"/>
          <w:sz w:val="22"/>
          <w:szCs w:val="22"/>
          <w:lang w:val="en-GB"/>
        </w:rPr>
      </w:pPr>
    </w:p>
    <w:p w14:paraId="1BF225E9" w14:textId="77777777" w:rsidR="000D4D9F" w:rsidRPr="001B4EE2" w:rsidRDefault="000D4D9F" w:rsidP="000D4D9F">
      <w:pPr>
        <w:pStyle w:val="ListParagraph"/>
        <w:ind w:left="360"/>
        <w:jc w:val="both"/>
        <w:rPr>
          <w:i/>
          <w:sz w:val="22"/>
          <w:szCs w:val="22"/>
          <w:lang w:val="en-GB" w:eastAsia="ro-RO"/>
        </w:rPr>
      </w:pPr>
      <w:r w:rsidRPr="001B4EE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CB7AC91" w14:textId="77777777" w:rsidR="005D311D" w:rsidRPr="003072BB" w:rsidRDefault="005D311D" w:rsidP="005D311D">
      <w:pPr>
        <w:pStyle w:val="ListParagraph"/>
        <w:ind w:left="450"/>
        <w:jc w:val="both"/>
        <w:rPr>
          <w:color w:val="1F497D"/>
          <w:sz w:val="22"/>
          <w:szCs w:val="22"/>
          <w:lang w:val="en-GB"/>
        </w:rPr>
      </w:pPr>
    </w:p>
    <w:p w14:paraId="5D7C0FB3" w14:textId="77777777" w:rsidR="006F29A4" w:rsidRPr="003072BB" w:rsidRDefault="006F29A4" w:rsidP="006F29A4">
      <w:pPr>
        <w:jc w:val="both"/>
        <w:rPr>
          <w:sz w:val="22"/>
          <w:szCs w:val="22"/>
          <w:lang w:val="en-GB" w:eastAsia="ro-RO"/>
        </w:rPr>
      </w:pPr>
      <w:r w:rsidRPr="003072BB">
        <w:rPr>
          <w:sz w:val="22"/>
          <w:szCs w:val="22"/>
          <w:lang w:val="en-GB" w:eastAsia="ro-RO"/>
        </w:rPr>
        <w:t>This special power of attorney:</w:t>
      </w:r>
    </w:p>
    <w:p w14:paraId="7B73384A" w14:textId="77777777" w:rsidR="006F29A4" w:rsidRPr="003072BB" w:rsidRDefault="006F29A4" w:rsidP="006F29A4">
      <w:pPr>
        <w:jc w:val="both"/>
        <w:rPr>
          <w:sz w:val="22"/>
          <w:szCs w:val="22"/>
          <w:lang w:val="en-GB" w:eastAsia="ro-RO"/>
        </w:rPr>
      </w:pPr>
    </w:p>
    <w:p w14:paraId="0E437AA1" w14:textId="77777777"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is valid only for the OGMS it was requested for, and the representative has the obligation to vote in accordance with the instructions given by the appointing shareholder under the sanction of cancellation of the vote by the OGMS secretaries;</w:t>
      </w:r>
    </w:p>
    <w:p w14:paraId="4DC41CD2" w14:textId="77777777" w:rsidR="006F29A4" w:rsidRPr="003072BB" w:rsidRDefault="006F29A4" w:rsidP="006F29A4">
      <w:pPr>
        <w:pStyle w:val="ListParagraph"/>
        <w:rPr>
          <w:sz w:val="22"/>
          <w:szCs w:val="22"/>
          <w:lang w:val="en-GB" w:eastAsia="ro-RO"/>
        </w:rPr>
      </w:pPr>
    </w:p>
    <w:p w14:paraId="7792962D" w14:textId="66A9CE79" w:rsidR="006F29A4" w:rsidRPr="003072BB" w:rsidRDefault="006F29A4" w:rsidP="006F29A4">
      <w:pPr>
        <w:numPr>
          <w:ilvl w:val="0"/>
          <w:numId w:val="1"/>
        </w:numPr>
        <w:jc w:val="both"/>
        <w:rPr>
          <w:sz w:val="22"/>
          <w:szCs w:val="22"/>
          <w:lang w:val="en-GB"/>
        </w:rPr>
      </w:pPr>
      <w:r w:rsidRPr="003072BB">
        <w:rPr>
          <w:sz w:val="22"/>
          <w:szCs w:val="22"/>
          <w:lang w:val="en-GB"/>
        </w:rPr>
        <w:t xml:space="preserve">the deadline for </w:t>
      </w:r>
      <w:r w:rsidRPr="003072BB">
        <w:rPr>
          <w:sz w:val="22"/>
          <w:szCs w:val="22"/>
          <w:lang w:val="en-GB" w:eastAsia="ro-RO"/>
        </w:rPr>
        <w:t>registering</w:t>
      </w:r>
      <w:r w:rsidRPr="003072BB" w:rsidDel="00876EEA">
        <w:rPr>
          <w:sz w:val="22"/>
          <w:szCs w:val="22"/>
          <w:lang w:val="en-GB" w:eastAsia="ro-RO"/>
        </w:rPr>
        <w:t xml:space="preserve"> </w:t>
      </w:r>
      <w:r w:rsidRPr="003072BB">
        <w:rPr>
          <w:sz w:val="22"/>
          <w:szCs w:val="22"/>
          <w:lang w:val="en-GB" w:eastAsia="ro-RO"/>
        </w:rPr>
        <w:t xml:space="preserve">the special power of attorney at the Company is </w:t>
      </w:r>
      <w:r w:rsidR="00157F85">
        <w:rPr>
          <w:sz w:val="22"/>
          <w:szCs w:val="22"/>
          <w:lang w:val="en-GB" w:eastAsia="ro-RO"/>
        </w:rPr>
        <w:t>18 April 2022</w:t>
      </w:r>
      <w:r w:rsidR="000E20F9" w:rsidRPr="003072BB">
        <w:rPr>
          <w:sz w:val="22"/>
          <w:szCs w:val="22"/>
          <w:lang w:val="en-GB"/>
        </w:rPr>
        <w:t>, 2:00 PM (Romanian time);</w:t>
      </w:r>
    </w:p>
    <w:p w14:paraId="4D984025" w14:textId="77777777" w:rsidR="006F29A4" w:rsidRPr="003072BB" w:rsidRDefault="006F29A4" w:rsidP="006F29A4">
      <w:pPr>
        <w:pStyle w:val="ListParagraph"/>
        <w:rPr>
          <w:sz w:val="22"/>
          <w:szCs w:val="22"/>
          <w:lang w:val="en-GB"/>
        </w:rPr>
      </w:pPr>
    </w:p>
    <w:p w14:paraId="64E1B8C3" w14:textId="20345B4C"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is made in 3 originals: one original is for the principal</w:t>
      </w:r>
      <w:r w:rsidR="00812C13" w:rsidRPr="003072BB">
        <w:rPr>
          <w:sz w:val="22"/>
          <w:szCs w:val="22"/>
          <w:lang w:val="en-GB" w:eastAsia="ro-RO"/>
        </w:rPr>
        <w:t xml:space="preserve"> shareholder</w:t>
      </w:r>
      <w:r w:rsidRPr="003072BB">
        <w:rPr>
          <w:sz w:val="22"/>
          <w:szCs w:val="22"/>
          <w:lang w:val="en-GB" w:eastAsia="ro-RO"/>
        </w:rPr>
        <w:t>, one original is for the empowered person and one original will be submitted</w:t>
      </w:r>
      <w:r w:rsidRPr="003072BB" w:rsidDel="00876EEA">
        <w:rPr>
          <w:sz w:val="22"/>
          <w:szCs w:val="22"/>
          <w:lang w:val="en-GB" w:eastAsia="ro-RO"/>
        </w:rPr>
        <w:t xml:space="preserve"> </w:t>
      </w:r>
      <w:r w:rsidRPr="003072BB">
        <w:rPr>
          <w:sz w:val="22"/>
          <w:szCs w:val="22"/>
          <w:lang w:val="en-GB" w:eastAsia="ro-RO"/>
        </w:rPr>
        <w:t>to the Company’s headquarters;</w:t>
      </w:r>
    </w:p>
    <w:p w14:paraId="4279EB34" w14:textId="77777777" w:rsidR="006F29A4" w:rsidRPr="003072BB" w:rsidRDefault="006F29A4" w:rsidP="006F29A4">
      <w:pPr>
        <w:jc w:val="both"/>
        <w:rPr>
          <w:sz w:val="22"/>
          <w:szCs w:val="22"/>
          <w:lang w:val="en-GB" w:eastAsia="ro-RO"/>
        </w:rPr>
      </w:pPr>
    </w:p>
    <w:p w14:paraId="5A4105FA" w14:textId="77777777" w:rsidR="006F29A4" w:rsidRPr="003072BB" w:rsidRDefault="006F29A4" w:rsidP="006F29A4">
      <w:pPr>
        <w:numPr>
          <w:ilvl w:val="0"/>
          <w:numId w:val="1"/>
        </w:numPr>
        <w:jc w:val="both"/>
        <w:rPr>
          <w:sz w:val="22"/>
          <w:szCs w:val="22"/>
          <w:lang w:val="en-GB" w:eastAsia="ro-RO"/>
        </w:rPr>
      </w:pPr>
      <w:r w:rsidRPr="003072BB">
        <w:rPr>
          <w:sz w:val="22"/>
          <w:szCs w:val="22"/>
          <w:u w:val="single"/>
          <w:lang w:val="en-GB" w:eastAsia="ro-RO"/>
        </w:rPr>
        <w:t>shall be signed and dated by the principal shareholder; in case of collective shareholders, it shall be signed by all the collective shareholders</w:t>
      </w:r>
      <w:r w:rsidRPr="003072BB">
        <w:rPr>
          <w:sz w:val="22"/>
          <w:szCs w:val="22"/>
          <w:lang w:val="en-GB" w:eastAsia="ro-RO"/>
        </w:rPr>
        <w:t>;</w:t>
      </w:r>
    </w:p>
    <w:p w14:paraId="0B8F2ABB" w14:textId="77777777" w:rsidR="006F29A4" w:rsidRPr="003072BB" w:rsidRDefault="006F29A4" w:rsidP="006F29A4">
      <w:pPr>
        <w:ind w:left="360"/>
        <w:jc w:val="both"/>
        <w:rPr>
          <w:sz w:val="22"/>
          <w:szCs w:val="22"/>
          <w:lang w:val="en-GB" w:eastAsia="ro-RO"/>
        </w:rPr>
      </w:pPr>
    </w:p>
    <w:p w14:paraId="0E66F26C" w14:textId="77777777" w:rsidR="006F29A4" w:rsidRPr="003072BB" w:rsidRDefault="006F29A4" w:rsidP="006F29A4">
      <w:pPr>
        <w:numPr>
          <w:ilvl w:val="0"/>
          <w:numId w:val="1"/>
        </w:numPr>
        <w:jc w:val="both"/>
        <w:rPr>
          <w:sz w:val="22"/>
          <w:szCs w:val="22"/>
          <w:lang w:val="en-GB" w:eastAsia="ro-RO"/>
        </w:rPr>
      </w:pPr>
      <w:r w:rsidRPr="003072BB">
        <w:rPr>
          <w:sz w:val="22"/>
          <w:szCs w:val="22"/>
          <w:lang w:val="en-GB" w:eastAsia="ro-RO"/>
        </w:rPr>
        <w:t>all the sections shall be filled in by the principal shareholder;</w:t>
      </w:r>
    </w:p>
    <w:p w14:paraId="1E6ECC56" w14:textId="77777777" w:rsidR="006F29A4" w:rsidRPr="003072BB" w:rsidRDefault="006F29A4" w:rsidP="006F29A4">
      <w:pPr>
        <w:pStyle w:val="ListParagraph"/>
        <w:rPr>
          <w:sz w:val="22"/>
          <w:szCs w:val="22"/>
          <w:lang w:val="en-GB" w:eastAsia="ro-RO"/>
        </w:rPr>
      </w:pPr>
    </w:p>
    <w:p w14:paraId="5C807AE5" w14:textId="77777777" w:rsidR="005170CA" w:rsidRPr="003072BB" w:rsidRDefault="006F29A4" w:rsidP="006F29A4">
      <w:pPr>
        <w:numPr>
          <w:ilvl w:val="0"/>
          <w:numId w:val="1"/>
        </w:numPr>
        <w:jc w:val="both"/>
        <w:rPr>
          <w:sz w:val="22"/>
          <w:szCs w:val="22"/>
          <w:lang w:val="en-GB" w:eastAsia="ro-RO"/>
        </w:rPr>
      </w:pPr>
      <w:r w:rsidRPr="003072BB">
        <w:rPr>
          <w:sz w:val="22"/>
          <w:szCs w:val="22"/>
          <w:lang w:val="en-GB" w:eastAsia="ro-RO"/>
        </w:rPr>
        <w:t>contains information according to the Constitutive Act of the Company, Law no. 31/1990, Law no. 24/2017 and FSA</w:t>
      </w:r>
      <w:r w:rsidRPr="003072BB">
        <w:rPr>
          <w:sz w:val="22"/>
          <w:szCs w:val="22"/>
          <w:lang w:eastAsia="ro-RO"/>
        </w:rPr>
        <w:t xml:space="preserve">’s </w:t>
      </w:r>
      <w:r w:rsidRPr="003072BB">
        <w:rPr>
          <w:sz w:val="22"/>
          <w:szCs w:val="22"/>
          <w:lang w:val="en-GB" w:eastAsia="ro-RO"/>
        </w:rPr>
        <w:t>Regulation no. 5/2018</w:t>
      </w:r>
      <w:r w:rsidR="005170CA" w:rsidRPr="003072BB">
        <w:rPr>
          <w:sz w:val="22"/>
          <w:szCs w:val="22"/>
          <w:lang w:val="en-GB" w:eastAsia="ro-RO"/>
        </w:rPr>
        <w:t>;</w:t>
      </w:r>
    </w:p>
    <w:p w14:paraId="47F78CEA" w14:textId="77777777" w:rsidR="005170CA" w:rsidRPr="003072BB" w:rsidRDefault="005170CA" w:rsidP="005170CA">
      <w:pPr>
        <w:pStyle w:val="ListParagraph"/>
        <w:rPr>
          <w:sz w:val="22"/>
          <w:szCs w:val="22"/>
          <w:lang w:val="en-GB" w:eastAsia="ro-RO"/>
        </w:rPr>
      </w:pPr>
    </w:p>
    <w:p w14:paraId="7EE5D228" w14:textId="440BE2E7" w:rsidR="005170CA" w:rsidRPr="003072BB" w:rsidRDefault="005170CA" w:rsidP="005170CA">
      <w:pPr>
        <w:pStyle w:val="ListParagraph"/>
        <w:numPr>
          <w:ilvl w:val="0"/>
          <w:numId w:val="1"/>
        </w:numPr>
        <w:autoSpaceDE w:val="0"/>
        <w:autoSpaceDN w:val="0"/>
        <w:adjustRightInd w:val="0"/>
        <w:jc w:val="both"/>
        <w:rPr>
          <w:sz w:val="22"/>
          <w:szCs w:val="22"/>
          <w:lang w:val="en-GB"/>
        </w:rPr>
      </w:pPr>
      <w:r w:rsidRPr="003072BB">
        <w:rPr>
          <w:sz w:val="22"/>
          <w:szCs w:val="22"/>
          <w:lang w:val="en-GB"/>
        </w:rPr>
        <w:t>for special powers of attorney sent electronically, the Company will send the shareholder a confirmation of receipt of the votes, according to the provisions of article 9</w:t>
      </w:r>
      <w:r w:rsidR="000E20F9" w:rsidRPr="003072BB">
        <w:rPr>
          <w:sz w:val="22"/>
          <w:szCs w:val="22"/>
          <w:lang w:val="en-GB"/>
        </w:rPr>
        <w:t xml:space="preserve">7 </w:t>
      </w:r>
      <w:r w:rsidRPr="003072BB">
        <w:rPr>
          <w:sz w:val="22"/>
          <w:szCs w:val="22"/>
          <w:lang w:val="en-GB"/>
        </w:rPr>
        <w:t>para. (2) of Issuers’ Law and of article 7 para. (1) of CE Regulation 1212/2018, in the format set out in Table 6 of Annex to the CE Regulation 1212/2018.</w:t>
      </w:r>
    </w:p>
    <w:p w14:paraId="51BC50FA" w14:textId="77777777" w:rsidR="005170CA" w:rsidRPr="003072BB" w:rsidRDefault="005170CA" w:rsidP="005170CA">
      <w:pPr>
        <w:pStyle w:val="ListParagraph"/>
        <w:autoSpaceDE w:val="0"/>
        <w:autoSpaceDN w:val="0"/>
        <w:adjustRightInd w:val="0"/>
        <w:ind w:left="360"/>
        <w:jc w:val="both"/>
        <w:rPr>
          <w:sz w:val="22"/>
          <w:szCs w:val="22"/>
          <w:lang w:val="en-GB"/>
        </w:rPr>
      </w:pPr>
    </w:p>
    <w:p w14:paraId="407B57D1" w14:textId="6928DFCB" w:rsidR="005170CA" w:rsidRPr="003072BB" w:rsidRDefault="005170CA" w:rsidP="005170CA">
      <w:pPr>
        <w:pStyle w:val="ListParagraph"/>
        <w:numPr>
          <w:ilvl w:val="0"/>
          <w:numId w:val="1"/>
        </w:numPr>
        <w:autoSpaceDE w:val="0"/>
        <w:autoSpaceDN w:val="0"/>
        <w:adjustRightInd w:val="0"/>
        <w:jc w:val="both"/>
        <w:rPr>
          <w:sz w:val="22"/>
          <w:szCs w:val="22"/>
          <w:lang w:val="en-GB"/>
        </w:rPr>
      </w:pPr>
      <w:r w:rsidRPr="003072BB">
        <w:rPr>
          <w:sz w:val="22"/>
          <w:szCs w:val="22"/>
          <w:lang w:val="en-GB"/>
        </w:rPr>
        <w:t xml:space="preserve">after the OGSM, the shareholder of a third party appointed by the shareholder may obtain from the Company, at least upon request, a </w:t>
      </w:r>
      <w:r w:rsidRPr="003072BB">
        <w:rPr>
          <w:sz w:val="22"/>
          <w:szCs w:val="22"/>
        </w:rPr>
        <w:t xml:space="preserve">confirmation of </w:t>
      </w:r>
      <w:r w:rsidRPr="003072BB">
        <w:rPr>
          <w:sz w:val="22"/>
          <w:szCs w:val="22"/>
          <w:lang w:val="en-GB"/>
        </w:rPr>
        <w:t>recording</w:t>
      </w:r>
      <w:r w:rsidRPr="003072BB">
        <w:rPr>
          <w:sz w:val="22"/>
          <w:szCs w:val="22"/>
        </w:rPr>
        <w:t xml:space="preserve"> and counting of votes by </w:t>
      </w:r>
      <w:r w:rsidRPr="003072BB">
        <w:rPr>
          <w:sz w:val="22"/>
          <w:szCs w:val="22"/>
          <w:lang w:val="en-GB"/>
        </w:rPr>
        <w:t>the Company</w:t>
      </w:r>
      <w:r w:rsidRPr="003072BB">
        <w:rPr>
          <w:sz w:val="22"/>
          <w:szCs w:val="22"/>
        </w:rPr>
        <w:t xml:space="preserve">. Such request of such a confirmation may be asked for within one month as of the voting date. In this case, </w:t>
      </w:r>
      <w:r w:rsidRPr="003072BB">
        <w:rPr>
          <w:sz w:val="22"/>
          <w:szCs w:val="22"/>
          <w:lang w:val="en-GB"/>
        </w:rPr>
        <w:t>the Company</w:t>
      </w:r>
      <w:r w:rsidRPr="003072BB">
        <w:rPr>
          <w:sz w:val="22"/>
          <w:szCs w:val="22"/>
        </w:rPr>
        <w:t xml:space="preserve"> will send the shareholder an electronic confirmation of recording and counting of votes, according to the provisions of article 9</w:t>
      </w:r>
      <w:r w:rsidR="000E20F9" w:rsidRPr="003072BB">
        <w:rPr>
          <w:sz w:val="22"/>
          <w:szCs w:val="22"/>
        </w:rPr>
        <w:t>7</w:t>
      </w:r>
      <w:r w:rsidRPr="003072BB">
        <w:rPr>
          <w:sz w:val="22"/>
          <w:szCs w:val="22"/>
        </w:rPr>
        <w:t xml:space="preserve"> para. (3) of Issuers’ Law</w:t>
      </w:r>
      <w:r w:rsidRPr="003072BB">
        <w:rPr>
          <w:iCs/>
          <w:sz w:val="22"/>
          <w:szCs w:val="22"/>
          <w:lang w:val="en-GB"/>
        </w:rPr>
        <w:t xml:space="preserve"> and of article 7 para. (2) of CE Regulation 1212/2018</w:t>
      </w:r>
      <w:r w:rsidRPr="003072BB">
        <w:rPr>
          <w:sz w:val="22"/>
          <w:szCs w:val="22"/>
        </w:rPr>
        <w:t>, in the format set out in Table 7 of Annex to the CE Regulation 1212/2018.</w:t>
      </w:r>
    </w:p>
    <w:p w14:paraId="2A5F9452" w14:textId="77777777" w:rsidR="006F29A4" w:rsidRPr="003072BB" w:rsidRDefault="006F29A4" w:rsidP="006F29A4">
      <w:pPr>
        <w:jc w:val="both"/>
        <w:rPr>
          <w:sz w:val="22"/>
          <w:szCs w:val="22"/>
          <w:lang w:val="en-GB" w:eastAsia="ro-RO"/>
        </w:rPr>
      </w:pPr>
    </w:p>
    <w:p w14:paraId="2FC9DA24" w14:textId="77777777" w:rsidR="006F29A4" w:rsidRPr="003072BB" w:rsidRDefault="006F29A4" w:rsidP="006F29A4">
      <w:pPr>
        <w:autoSpaceDE w:val="0"/>
        <w:autoSpaceDN w:val="0"/>
        <w:adjustRightInd w:val="0"/>
        <w:rPr>
          <w:sz w:val="22"/>
          <w:szCs w:val="22"/>
          <w:lang w:val="en-GB"/>
        </w:rPr>
      </w:pPr>
      <w:r w:rsidRPr="003072BB">
        <w:rPr>
          <w:sz w:val="22"/>
          <w:szCs w:val="22"/>
          <w:lang w:val="en-GB"/>
        </w:rPr>
        <w:t>I attach to this special power of attorney:</w:t>
      </w:r>
    </w:p>
    <w:p w14:paraId="6DC27470" w14:textId="77777777" w:rsidR="006F29A4" w:rsidRPr="003072BB" w:rsidRDefault="006F29A4" w:rsidP="006F29A4">
      <w:pPr>
        <w:autoSpaceDE w:val="0"/>
        <w:autoSpaceDN w:val="0"/>
        <w:adjustRightInd w:val="0"/>
        <w:rPr>
          <w:sz w:val="22"/>
          <w:szCs w:val="22"/>
          <w:lang w:val="en-GB"/>
        </w:rPr>
      </w:pPr>
    </w:p>
    <w:p w14:paraId="57F9D2F7" w14:textId="77777777" w:rsidR="006F29A4" w:rsidRPr="003072BB" w:rsidRDefault="006F29A4" w:rsidP="006F29A4">
      <w:pPr>
        <w:pStyle w:val="ListParagraph"/>
        <w:numPr>
          <w:ilvl w:val="0"/>
          <w:numId w:val="2"/>
        </w:numPr>
        <w:suppressAutoHyphens/>
        <w:ind w:left="360"/>
        <w:jc w:val="both"/>
        <w:rPr>
          <w:sz w:val="22"/>
          <w:szCs w:val="22"/>
          <w:lang w:val="en-GB"/>
        </w:rPr>
      </w:pPr>
      <w:r w:rsidRPr="003072BB">
        <w:rPr>
          <w:sz w:val="22"/>
          <w:szCs w:val="22"/>
          <w:lang w:val="en-GB"/>
        </w:rPr>
        <w:t>copy of the identity card allowing my identification on the Fondul Proprietatea shareholders registry on the reference date issued by Depozitarul Central SA; and</w:t>
      </w:r>
    </w:p>
    <w:p w14:paraId="13E7A198" w14:textId="77777777" w:rsidR="006F29A4" w:rsidRPr="003072BB" w:rsidRDefault="006F29A4" w:rsidP="006F29A4">
      <w:pPr>
        <w:pStyle w:val="ListParagraph"/>
        <w:numPr>
          <w:ilvl w:val="0"/>
          <w:numId w:val="2"/>
        </w:numPr>
        <w:suppressAutoHyphens/>
        <w:ind w:left="360"/>
        <w:jc w:val="both"/>
        <w:rPr>
          <w:sz w:val="22"/>
          <w:szCs w:val="22"/>
          <w:lang w:val="en-GB"/>
        </w:rPr>
      </w:pPr>
      <w:r w:rsidRPr="003072BB">
        <w:rPr>
          <w:sz w:val="22"/>
          <w:szCs w:val="22"/>
          <w:lang w:val="en-GB"/>
        </w:rPr>
        <w:t>a copy of the identity card of the empowered individual (identity document or identity card for Romanian citizens or passport for foreign citizens).</w:t>
      </w:r>
    </w:p>
    <w:p w14:paraId="382EFFCA" w14:textId="77777777" w:rsidR="006F29A4" w:rsidRPr="003072BB" w:rsidRDefault="006F29A4" w:rsidP="006F29A4">
      <w:pPr>
        <w:pStyle w:val="ListParagraph"/>
        <w:suppressAutoHyphens/>
        <w:ind w:left="360"/>
        <w:jc w:val="both"/>
        <w:rPr>
          <w:sz w:val="22"/>
          <w:szCs w:val="22"/>
          <w:lang w:val="en-GB"/>
        </w:rPr>
      </w:pPr>
    </w:p>
    <w:p w14:paraId="7E17AB5E" w14:textId="287E5B12" w:rsidR="006F29A4" w:rsidRPr="003072BB" w:rsidRDefault="006F29A4" w:rsidP="006F29A4">
      <w:pPr>
        <w:suppressAutoHyphens/>
        <w:jc w:val="both"/>
        <w:rPr>
          <w:sz w:val="22"/>
          <w:szCs w:val="22"/>
          <w:lang w:val="en-GB"/>
        </w:rPr>
      </w:pPr>
      <w:r w:rsidRPr="003072BB">
        <w:rPr>
          <w:sz w:val="22"/>
          <w:szCs w:val="22"/>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3072BB">
        <w:rPr>
          <w:i/>
          <w:sz w:val="22"/>
          <w:szCs w:val="22"/>
          <w:lang w:val="en-GB"/>
        </w:rPr>
        <w:t>inter alia</w:t>
      </w:r>
      <w:r w:rsidRPr="003072BB">
        <w:rPr>
          <w:sz w:val="22"/>
          <w:szCs w:val="22"/>
          <w:lang w:val="en-GB"/>
        </w:rPr>
        <w:t xml:space="preserve"> the identity of the legal representative, all being no older than 12 months</w:t>
      </w:r>
      <w:r w:rsidR="00812C13" w:rsidRPr="003072BB">
        <w:rPr>
          <w:sz w:val="22"/>
          <w:szCs w:val="22"/>
          <w:lang w:val="en-GB"/>
        </w:rPr>
        <w:t xml:space="preserve"> as from the date when the general meeting convening notice was published</w:t>
      </w:r>
      <w:r w:rsidRPr="003072BB">
        <w:rPr>
          <w:sz w:val="22"/>
          <w:szCs w:val="22"/>
          <w:lang w:val="en-GB"/>
        </w:rPr>
        <w:t>.</w:t>
      </w:r>
    </w:p>
    <w:p w14:paraId="6D161DD2" w14:textId="77777777" w:rsidR="006F29A4" w:rsidRPr="003072BB" w:rsidRDefault="006F29A4" w:rsidP="006F29A4">
      <w:pPr>
        <w:autoSpaceDE w:val="0"/>
        <w:autoSpaceDN w:val="0"/>
        <w:adjustRightInd w:val="0"/>
        <w:rPr>
          <w:sz w:val="22"/>
          <w:szCs w:val="22"/>
          <w:lang w:val="en-GB"/>
        </w:rPr>
      </w:pPr>
    </w:p>
    <w:p w14:paraId="0482F80E" w14:textId="77777777" w:rsidR="006F29A4" w:rsidRPr="003072BB" w:rsidRDefault="006F29A4" w:rsidP="006F29A4">
      <w:pPr>
        <w:autoSpaceDE w:val="0"/>
        <w:autoSpaceDN w:val="0"/>
        <w:adjustRightInd w:val="0"/>
        <w:rPr>
          <w:sz w:val="22"/>
          <w:szCs w:val="22"/>
          <w:lang w:val="en-GB"/>
        </w:rPr>
      </w:pPr>
      <w:r w:rsidRPr="003072BB">
        <w:rPr>
          <w:sz w:val="22"/>
          <w:szCs w:val="22"/>
          <w:lang w:val="en-GB"/>
        </w:rPr>
        <w:t xml:space="preserve">The special power of attorney date: </w:t>
      </w:r>
      <w:r w:rsidRPr="003072BB">
        <w:rPr>
          <w:sz w:val="22"/>
          <w:szCs w:val="22"/>
          <w:lang w:val="en-GB"/>
        </w:rPr>
        <w:tab/>
        <w:t>[___________________________]</w:t>
      </w:r>
    </w:p>
    <w:p w14:paraId="65278073" w14:textId="77777777" w:rsidR="006F29A4" w:rsidRPr="003072BB" w:rsidRDefault="006F29A4" w:rsidP="006F29A4">
      <w:pPr>
        <w:autoSpaceDE w:val="0"/>
        <w:autoSpaceDN w:val="0"/>
        <w:adjustRightInd w:val="0"/>
        <w:jc w:val="both"/>
        <w:rPr>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if the shareholder sends more than one special power of attorney consecutively, the Company shall consider that the power of attorney having a subsequent date revokes the previous power(s) of attorney).</w:t>
      </w:r>
    </w:p>
    <w:p w14:paraId="3777A367" w14:textId="77777777" w:rsidR="006F29A4" w:rsidRPr="003072BB" w:rsidRDefault="006F29A4" w:rsidP="006F29A4">
      <w:pPr>
        <w:autoSpaceDE w:val="0"/>
        <w:autoSpaceDN w:val="0"/>
        <w:adjustRightInd w:val="0"/>
        <w:ind w:left="360"/>
        <w:rPr>
          <w:sz w:val="22"/>
          <w:szCs w:val="22"/>
          <w:lang w:val="en-GB"/>
        </w:rPr>
      </w:pPr>
    </w:p>
    <w:p w14:paraId="03C48847" w14:textId="77777777" w:rsidR="006F29A4" w:rsidRPr="003072BB" w:rsidRDefault="006F29A4" w:rsidP="006F29A4">
      <w:pPr>
        <w:autoSpaceDE w:val="0"/>
        <w:autoSpaceDN w:val="0"/>
        <w:adjustRightInd w:val="0"/>
        <w:rPr>
          <w:sz w:val="22"/>
          <w:szCs w:val="22"/>
          <w:lang w:val="en-GB"/>
        </w:rPr>
      </w:pPr>
      <w:r w:rsidRPr="003072BB">
        <w:rPr>
          <w:sz w:val="22"/>
          <w:szCs w:val="22"/>
          <w:lang w:val="en-GB" w:eastAsia="ro-RO"/>
        </w:rPr>
        <w:t>First and last name</w:t>
      </w:r>
      <w:r w:rsidRPr="003072BB">
        <w:rPr>
          <w:sz w:val="22"/>
          <w:szCs w:val="22"/>
          <w:lang w:val="en-GB"/>
        </w:rPr>
        <w:t>: [_________________________________]</w:t>
      </w:r>
      <w:r w:rsidRPr="003072BB">
        <w:rPr>
          <w:sz w:val="22"/>
          <w:szCs w:val="22"/>
          <w:lang w:val="en-GB"/>
        </w:rPr>
        <w:tab/>
      </w:r>
      <w:r w:rsidRPr="003072BB">
        <w:rPr>
          <w:sz w:val="22"/>
          <w:szCs w:val="22"/>
          <w:lang w:val="en-GB"/>
        </w:rPr>
        <w:tab/>
      </w:r>
      <w:r w:rsidRPr="003072BB">
        <w:rPr>
          <w:sz w:val="22"/>
          <w:szCs w:val="22"/>
          <w:lang w:val="en-GB"/>
        </w:rPr>
        <w:tab/>
      </w:r>
    </w:p>
    <w:p w14:paraId="25ACC7D0" w14:textId="77777777" w:rsidR="006F29A4" w:rsidRPr="003072BB" w:rsidRDefault="006F29A4" w:rsidP="006F29A4">
      <w:pPr>
        <w:autoSpaceDE w:val="0"/>
        <w:autoSpaceDN w:val="0"/>
        <w:adjustRightInd w:val="0"/>
        <w:jc w:val="both"/>
        <w:rPr>
          <w:color w:val="808080"/>
          <w:sz w:val="22"/>
          <w:szCs w:val="22"/>
          <w:lang w:val="en-GB"/>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to be filled in with the first and last name of the individual shareholder, legible, in capital letters)</w:t>
      </w:r>
    </w:p>
    <w:p w14:paraId="707A3CFE" w14:textId="77777777" w:rsidR="006F29A4" w:rsidRPr="003072BB" w:rsidRDefault="006F29A4" w:rsidP="006F29A4">
      <w:pPr>
        <w:autoSpaceDE w:val="0"/>
        <w:autoSpaceDN w:val="0"/>
        <w:adjustRightInd w:val="0"/>
        <w:rPr>
          <w:sz w:val="22"/>
          <w:szCs w:val="22"/>
          <w:lang w:val="en-GB"/>
        </w:rPr>
      </w:pPr>
    </w:p>
    <w:p w14:paraId="1C82D296" w14:textId="6EA67E2E" w:rsidR="006F29A4" w:rsidRPr="003072BB" w:rsidRDefault="006F29A4" w:rsidP="006F29A4">
      <w:pPr>
        <w:autoSpaceDE w:val="0"/>
        <w:autoSpaceDN w:val="0"/>
        <w:adjustRightInd w:val="0"/>
        <w:rPr>
          <w:sz w:val="22"/>
          <w:szCs w:val="22"/>
          <w:lang w:val="en-GB"/>
        </w:rPr>
      </w:pPr>
      <w:r w:rsidRPr="003072BB">
        <w:rPr>
          <w:sz w:val="22"/>
          <w:szCs w:val="22"/>
          <w:lang w:val="en-GB"/>
        </w:rPr>
        <w:t>Signature:</w:t>
      </w:r>
      <w:r w:rsidRPr="003072BB">
        <w:rPr>
          <w:sz w:val="22"/>
          <w:szCs w:val="22"/>
          <w:lang w:val="en-GB"/>
        </w:rPr>
        <w:tab/>
      </w:r>
      <w:r w:rsidR="001C6F58" w:rsidRPr="003072BB">
        <w:rPr>
          <w:sz w:val="22"/>
          <w:szCs w:val="22"/>
          <w:lang w:val="en-GB"/>
        </w:rPr>
        <w:t>[_________________________________]</w:t>
      </w:r>
    </w:p>
    <w:p w14:paraId="2F2C9CA7" w14:textId="5A1400F7" w:rsidR="006F29A4" w:rsidRPr="003072BB" w:rsidRDefault="006F29A4" w:rsidP="006F29A4">
      <w:pPr>
        <w:rPr>
          <w:sz w:val="22"/>
          <w:szCs w:val="22"/>
        </w:rPr>
      </w:pPr>
      <w:r w:rsidRPr="003072BB">
        <w:rPr>
          <w:color w:val="808080"/>
          <w:sz w:val="22"/>
          <w:szCs w:val="22"/>
          <w:lang w:val="en-GB"/>
        </w:rPr>
        <w:t>(</w:t>
      </w:r>
      <w:r w:rsidRPr="003072BB">
        <w:rPr>
          <w:b/>
          <w:color w:val="808080"/>
          <w:sz w:val="22"/>
          <w:szCs w:val="22"/>
          <w:lang w:val="en-GB"/>
        </w:rPr>
        <w:t>ATTENTION!</w:t>
      </w:r>
      <w:r w:rsidRPr="003072BB">
        <w:rPr>
          <w:color w:val="808080"/>
          <w:sz w:val="22"/>
          <w:szCs w:val="22"/>
          <w:lang w:val="en-GB"/>
        </w:rPr>
        <w:t xml:space="preserve"> In case of collective shareholders, it will be signed by all the shareholders)</w:t>
      </w:r>
    </w:p>
    <w:sectPr w:rsidR="006F29A4" w:rsidRPr="003072BB">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8067" w14:textId="77777777" w:rsidR="008278DB" w:rsidRDefault="008278DB" w:rsidP="008753C1">
      <w:r>
        <w:separator/>
      </w:r>
    </w:p>
  </w:endnote>
  <w:endnote w:type="continuationSeparator" w:id="0">
    <w:p w14:paraId="545E9D82" w14:textId="77777777" w:rsidR="008278DB" w:rsidRDefault="008278DB" w:rsidP="008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7665"/>
      <w:docPartObj>
        <w:docPartGallery w:val="Page Numbers (Bottom of Page)"/>
        <w:docPartUnique/>
      </w:docPartObj>
    </w:sdtPr>
    <w:sdtEndPr>
      <w:rPr>
        <w:noProof/>
      </w:rPr>
    </w:sdtEndPr>
    <w:sdtContent>
      <w:p w14:paraId="034C7EE0" w14:textId="6B571CCC" w:rsidR="008753C1" w:rsidRPr="008753C1" w:rsidRDefault="008753C1">
        <w:pPr>
          <w:pStyle w:val="Footer"/>
          <w:jc w:val="center"/>
          <w:rPr>
            <w:sz w:val="20"/>
            <w:szCs w:val="20"/>
          </w:rPr>
        </w:pPr>
        <w:r>
          <w:fldChar w:fldCharType="begin"/>
        </w:r>
        <w:r>
          <w:instrText xml:space="preserve"> PAGE   \* MERGEFORMAT </w:instrText>
        </w:r>
        <w:r>
          <w:fldChar w:fldCharType="separate"/>
        </w:r>
        <w:r w:rsidR="00960203">
          <w:rPr>
            <w:noProof/>
          </w:rPr>
          <w:t>3</w:t>
        </w:r>
        <w:r>
          <w:rPr>
            <w:noProof/>
          </w:rPr>
          <w:fldChar w:fldCharType="end"/>
        </w:r>
      </w:p>
    </w:sdtContent>
  </w:sdt>
  <w:p w14:paraId="14C86074" w14:textId="77777777" w:rsidR="008753C1" w:rsidRDefault="0087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E14D" w14:textId="77777777" w:rsidR="008278DB" w:rsidRDefault="008278DB" w:rsidP="008753C1">
      <w:r>
        <w:separator/>
      </w:r>
    </w:p>
  </w:footnote>
  <w:footnote w:type="continuationSeparator" w:id="0">
    <w:p w14:paraId="34EF9707" w14:textId="77777777" w:rsidR="008278DB" w:rsidRDefault="008278DB" w:rsidP="008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0A"/>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8F16446"/>
    <w:multiLevelType w:val="hybridMultilevel"/>
    <w:tmpl w:val="61C41E98"/>
    <w:lvl w:ilvl="0" w:tplc="C1EA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90214A"/>
    <w:multiLevelType w:val="hybridMultilevel"/>
    <w:tmpl w:val="5744663C"/>
    <w:lvl w:ilvl="0" w:tplc="724A0BB6">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7022F"/>
    <w:multiLevelType w:val="hybridMultilevel"/>
    <w:tmpl w:val="0DE2F4F0"/>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21A9E"/>
    <w:multiLevelType w:val="multilevel"/>
    <w:tmpl w:val="C8A6017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4"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220C7F"/>
    <w:multiLevelType w:val="hybridMultilevel"/>
    <w:tmpl w:val="E2149912"/>
    <w:lvl w:ilvl="0" w:tplc="0409000F">
      <w:start w:val="1"/>
      <w:numFmt w:val="decimal"/>
      <w:lvlText w:val="%1."/>
      <w:lvlJc w:val="left"/>
      <w:pPr>
        <w:tabs>
          <w:tab w:val="num" w:pos="720"/>
        </w:tabs>
        <w:ind w:left="720" w:hanging="360"/>
      </w:pPr>
      <w:rPr>
        <w:rFonts w:hint="default"/>
      </w:rPr>
    </w:lvl>
    <w:lvl w:ilvl="1" w:tplc="AB88231C">
      <w:start w:val="1"/>
      <w:numFmt w:val="lowerLetter"/>
      <w:lvlText w:val="%2)"/>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2923BA5"/>
    <w:multiLevelType w:val="hybridMultilevel"/>
    <w:tmpl w:val="AECEB982"/>
    <w:lvl w:ilvl="0" w:tplc="6A664E56">
      <w:start w:val="1"/>
      <w:numFmt w:val="decimal"/>
      <w:lvlText w:val="%1."/>
      <w:lvlJc w:val="left"/>
      <w:pPr>
        <w:tabs>
          <w:tab w:val="num" w:pos="720"/>
        </w:tabs>
        <w:ind w:left="720" w:hanging="360"/>
      </w:pPr>
      <w:rPr>
        <w:rFonts w:hint="default"/>
        <w:b/>
      </w:rPr>
    </w:lvl>
    <w:lvl w:ilvl="1" w:tplc="273447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1020AC"/>
    <w:multiLevelType w:val="hybridMultilevel"/>
    <w:tmpl w:val="45B466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A0DBE"/>
    <w:multiLevelType w:val="hybridMultilevel"/>
    <w:tmpl w:val="AAC4D422"/>
    <w:lvl w:ilvl="0" w:tplc="D06A20E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5"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4"/>
  </w:num>
  <w:num w:numId="5">
    <w:abstractNumId w:val="8"/>
  </w:num>
  <w:num w:numId="6">
    <w:abstractNumId w:val="2"/>
  </w:num>
  <w:num w:numId="7">
    <w:abstractNumId w:val="23"/>
  </w:num>
  <w:num w:numId="8">
    <w:abstractNumId w:val="21"/>
  </w:num>
  <w:num w:numId="9">
    <w:abstractNumId w:val="6"/>
  </w:num>
  <w:num w:numId="10">
    <w:abstractNumId w:val="17"/>
  </w:num>
  <w:num w:numId="11">
    <w:abstractNumId w:val="14"/>
  </w:num>
  <w:num w:numId="12">
    <w:abstractNumId w:val="16"/>
  </w:num>
  <w:num w:numId="13">
    <w:abstractNumId w:val="1"/>
  </w:num>
  <w:num w:numId="14">
    <w:abstractNumId w:val="3"/>
  </w:num>
  <w:num w:numId="15">
    <w:abstractNumId w:val="1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5"/>
  </w:num>
  <w:num w:numId="20">
    <w:abstractNumId w:val="22"/>
  </w:num>
  <w:num w:numId="21">
    <w:abstractNumId w:val="10"/>
  </w:num>
  <w:num w:numId="22">
    <w:abstractNumId w:val="11"/>
  </w:num>
  <w:num w:numId="23">
    <w:abstractNumId w:val="1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A4"/>
    <w:rsid w:val="000418CA"/>
    <w:rsid w:val="000557B6"/>
    <w:rsid w:val="00061181"/>
    <w:rsid w:val="000D4D9F"/>
    <w:rsid w:val="000D5904"/>
    <w:rsid w:val="000E20F9"/>
    <w:rsid w:val="00123B5F"/>
    <w:rsid w:val="00157F85"/>
    <w:rsid w:val="00194EE6"/>
    <w:rsid w:val="001C6F58"/>
    <w:rsid w:val="001C71E7"/>
    <w:rsid w:val="001E3435"/>
    <w:rsid w:val="002140E4"/>
    <w:rsid w:val="0023517F"/>
    <w:rsid w:val="002B1FDD"/>
    <w:rsid w:val="002D4918"/>
    <w:rsid w:val="003061A7"/>
    <w:rsid w:val="003072BB"/>
    <w:rsid w:val="00324A99"/>
    <w:rsid w:val="00395CAD"/>
    <w:rsid w:val="004216B1"/>
    <w:rsid w:val="00471DA4"/>
    <w:rsid w:val="00472008"/>
    <w:rsid w:val="0049472E"/>
    <w:rsid w:val="0051193D"/>
    <w:rsid w:val="00515FB4"/>
    <w:rsid w:val="005170CA"/>
    <w:rsid w:val="00546E0F"/>
    <w:rsid w:val="005D311D"/>
    <w:rsid w:val="005E739D"/>
    <w:rsid w:val="00655685"/>
    <w:rsid w:val="00657FFB"/>
    <w:rsid w:val="00664BF0"/>
    <w:rsid w:val="006667E3"/>
    <w:rsid w:val="006B2910"/>
    <w:rsid w:val="006B317D"/>
    <w:rsid w:val="006E7510"/>
    <w:rsid w:val="006F29A4"/>
    <w:rsid w:val="00747A0E"/>
    <w:rsid w:val="00751F98"/>
    <w:rsid w:val="0075342F"/>
    <w:rsid w:val="00785F1E"/>
    <w:rsid w:val="00786D1B"/>
    <w:rsid w:val="00803087"/>
    <w:rsid w:val="00812C13"/>
    <w:rsid w:val="008278DB"/>
    <w:rsid w:val="008753C1"/>
    <w:rsid w:val="00882B6D"/>
    <w:rsid w:val="00885CC9"/>
    <w:rsid w:val="008D0CFF"/>
    <w:rsid w:val="008F1E51"/>
    <w:rsid w:val="009043B0"/>
    <w:rsid w:val="0091335B"/>
    <w:rsid w:val="00960203"/>
    <w:rsid w:val="00980DCB"/>
    <w:rsid w:val="009B5FF6"/>
    <w:rsid w:val="009C14AE"/>
    <w:rsid w:val="00A14D0D"/>
    <w:rsid w:val="00A36851"/>
    <w:rsid w:val="00A63C0E"/>
    <w:rsid w:val="00A7307F"/>
    <w:rsid w:val="00A92160"/>
    <w:rsid w:val="00AA6C70"/>
    <w:rsid w:val="00AE3CDF"/>
    <w:rsid w:val="00B071EC"/>
    <w:rsid w:val="00B54423"/>
    <w:rsid w:val="00B77365"/>
    <w:rsid w:val="00BC427B"/>
    <w:rsid w:val="00BF5304"/>
    <w:rsid w:val="00C264C6"/>
    <w:rsid w:val="00C371CE"/>
    <w:rsid w:val="00C81EF5"/>
    <w:rsid w:val="00C934AF"/>
    <w:rsid w:val="00CE0FBD"/>
    <w:rsid w:val="00CE226D"/>
    <w:rsid w:val="00D32FE5"/>
    <w:rsid w:val="00D3709E"/>
    <w:rsid w:val="00DD3094"/>
    <w:rsid w:val="00DE60B2"/>
    <w:rsid w:val="00E026EA"/>
    <w:rsid w:val="00E22B3B"/>
    <w:rsid w:val="00E254DC"/>
    <w:rsid w:val="00E26865"/>
    <w:rsid w:val="00E617AF"/>
    <w:rsid w:val="00EA5812"/>
    <w:rsid w:val="00EB7C73"/>
    <w:rsid w:val="00EC4521"/>
    <w:rsid w:val="00ED129C"/>
    <w:rsid w:val="00ED23B9"/>
    <w:rsid w:val="00ED40C7"/>
    <w:rsid w:val="00F14837"/>
    <w:rsid w:val="00F55613"/>
    <w:rsid w:val="00F55B60"/>
    <w:rsid w:val="00FC1F9C"/>
    <w:rsid w:val="00FE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5986"/>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A4"/>
    <w:pPr>
      <w:ind w:left="720"/>
      <w:contextualSpacing/>
    </w:pPr>
  </w:style>
  <w:style w:type="paragraph" w:styleId="Header">
    <w:name w:val="header"/>
    <w:basedOn w:val="Normal"/>
    <w:link w:val="HeaderChar"/>
    <w:uiPriority w:val="99"/>
    <w:unhideWhenUsed/>
    <w:rsid w:val="008753C1"/>
    <w:pPr>
      <w:tabs>
        <w:tab w:val="center" w:pos="4513"/>
        <w:tab w:val="right" w:pos="9026"/>
      </w:tabs>
    </w:pPr>
  </w:style>
  <w:style w:type="character" w:customStyle="1" w:styleId="HeaderChar">
    <w:name w:val="Header Char"/>
    <w:basedOn w:val="DefaultParagraphFont"/>
    <w:link w:val="Header"/>
    <w:uiPriority w:val="99"/>
    <w:rsid w:val="008753C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53C1"/>
    <w:pPr>
      <w:tabs>
        <w:tab w:val="center" w:pos="4513"/>
        <w:tab w:val="right" w:pos="9026"/>
      </w:tabs>
    </w:pPr>
  </w:style>
  <w:style w:type="character" w:customStyle="1" w:styleId="FooterChar">
    <w:name w:val="Footer Char"/>
    <w:basedOn w:val="DefaultParagraphFont"/>
    <w:link w:val="Footer"/>
    <w:uiPriority w:val="99"/>
    <w:rsid w:val="008753C1"/>
    <w:rPr>
      <w:rFonts w:ascii="Times New Roman" w:eastAsia="Times New Roman" w:hAnsi="Times New Roman" w:cs="Times New Roman"/>
      <w:sz w:val="24"/>
      <w:szCs w:val="24"/>
      <w:lang w:val="en-US"/>
    </w:rPr>
  </w:style>
  <w:style w:type="character" w:styleId="Hyperlink">
    <w:name w:val="Hyperlink"/>
    <w:rsid w:val="00B77365"/>
    <w:rPr>
      <w:color w:val="0000FF"/>
      <w:u w:val="single"/>
    </w:rPr>
  </w:style>
  <w:style w:type="paragraph" w:styleId="BalloonText">
    <w:name w:val="Balloon Text"/>
    <w:basedOn w:val="Normal"/>
    <w:link w:val="BalloonTextChar"/>
    <w:uiPriority w:val="99"/>
    <w:semiHidden/>
    <w:unhideWhenUsed/>
    <w:rsid w:val="000D5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0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ED40C7"/>
    <w:rPr>
      <w:sz w:val="20"/>
      <w:szCs w:val="20"/>
    </w:rPr>
  </w:style>
  <w:style w:type="character" w:customStyle="1" w:styleId="FootnoteTextChar">
    <w:name w:val="Footnote Text Char"/>
    <w:basedOn w:val="DefaultParagraphFont"/>
    <w:link w:val="FootnoteText"/>
    <w:uiPriority w:val="99"/>
    <w:semiHidden/>
    <w:rsid w:val="00ED40C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D40C7"/>
    <w:rPr>
      <w:vertAlign w:val="superscript"/>
    </w:rPr>
  </w:style>
  <w:style w:type="paragraph" w:styleId="BodyText">
    <w:name w:val="Body Text"/>
    <w:basedOn w:val="Normal"/>
    <w:link w:val="BodyTextChar"/>
    <w:rsid w:val="00786D1B"/>
    <w:pPr>
      <w:jc w:val="both"/>
    </w:pPr>
    <w:rPr>
      <w:rFonts w:ascii="Arial" w:hAnsi="Arial"/>
      <w:sz w:val="18"/>
      <w:szCs w:val="20"/>
    </w:rPr>
  </w:style>
  <w:style w:type="character" w:customStyle="1" w:styleId="BodyTextChar">
    <w:name w:val="Body Text Char"/>
    <w:basedOn w:val="DefaultParagraphFont"/>
    <w:link w:val="BodyText"/>
    <w:rsid w:val="00786D1B"/>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gafp@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0AEED-FFF9-4353-A9DD-0EB9E02BC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552BE-25B1-418C-BF88-38DFF841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C250F-21CE-4447-BED6-B1EC35A7B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PoA_Individuals_OGMS</dc:title>
  <dc:creator>Cazan, Teodora</dc:creator>
  <cp:lastModifiedBy>Cazan, Teodora</cp:lastModifiedBy>
  <cp:revision>4</cp:revision>
  <dcterms:created xsi:type="dcterms:W3CDTF">2022-03-21T12:49:00Z</dcterms:created>
  <dcterms:modified xsi:type="dcterms:W3CDTF">2022-03-21T13:08:00Z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