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7192" w:rsidR="006143F5" w:rsidP="006143F5" w:rsidRDefault="00B85581" w14:paraId="3509926B" w14:textId="0AA2E01D">
      <w:pPr>
        <w:autoSpaceDE w:val="0"/>
        <w:autoSpaceDN w:val="0"/>
        <w:adjustRightInd w:val="0"/>
        <w:jc w:val="center"/>
        <w:rPr>
          <w:b/>
          <w:sz w:val="22"/>
          <w:szCs w:val="22"/>
          <w:lang w:val="en-GB"/>
        </w:rPr>
      </w:pPr>
      <w:r>
        <w:rPr>
          <w:b/>
          <w:sz w:val="22"/>
          <w:szCs w:val="22"/>
          <w:lang w:val="en-GB"/>
        </w:rPr>
        <w:t>S</w:t>
      </w:r>
      <w:r w:rsidRPr="00237192" w:rsidR="006143F5">
        <w:rPr>
          <w:b/>
          <w:sz w:val="22"/>
          <w:szCs w:val="22"/>
          <w:lang w:val="en-GB"/>
        </w:rPr>
        <w:t xml:space="preserve">pecial power of attorney </w:t>
      </w:r>
    </w:p>
    <w:p w:rsidRPr="00237192" w:rsidR="006143F5" w:rsidP="006143F5" w:rsidRDefault="006143F5" w14:paraId="4B42D4F5" w14:textId="77777777">
      <w:pPr>
        <w:autoSpaceDE w:val="0"/>
        <w:autoSpaceDN w:val="0"/>
        <w:adjustRightInd w:val="0"/>
        <w:jc w:val="center"/>
        <w:rPr>
          <w:sz w:val="22"/>
          <w:szCs w:val="22"/>
          <w:lang w:val="en-GB"/>
        </w:rPr>
      </w:pPr>
      <w:r w:rsidRPr="00237192">
        <w:rPr>
          <w:b/>
          <w:sz w:val="22"/>
          <w:szCs w:val="22"/>
          <w:lang w:val="en-GB"/>
        </w:rPr>
        <w:t>for legal person shareholders</w:t>
      </w:r>
    </w:p>
    <w:p w:rsidRPr="00237192" w:rsidR="006143F5" w:rsidP="006143F5" w:rsidRDefault="006143F5" w14:paraId="72BBA66E" w14:textId="075ED323">
      <w:pPr>
        <w:autoSpaceDE w:val="0"/>
        <w:autoSpaceDN w:val="0"/>
        <w:adjustRightInd w:val="0"/>
        <w:jc w:val="center"/>
        <w:rPr>
          <w:sz w:val="22"/>
          <w:szCs w:val="22"/>
          <w:lang w:val="en-GB"/>
        </w:rPr>
      </w:pPr>
      <w:r w:rsidRPr="00237192">
        <w:rPr>
          <w:sz w:val="22"/>
          <w:szCs w:val="22"/>
          <w:lang w:val="en-GB"/>
        </w:rPr>
        <w:t xml:space="preserve">for the </w:t>
      </w:r>
      <w:r w:rsidRPr="00237192" w:rsidR="00237192">
        <w:rPr>
          <w:sz w:val="22"/>
          <w:szCs w:val="22"/>
          <w:lang w:val="en-GB"/>
        </w:rPr>
        <w:t>O</w:t>
      </w:r>
      <w:r w:rsidRPr="00237192">
        <w:rPr>
          <w:sz w:val="22"/>
          <w:szCs w:val="22"/>
          <w:lang w:val="en-GB"/>
        </w:rPr>
        <w:t>rdinary General Meeting of Shareholders of</w:t>
      </w:r>
      <w:r w:rsidR="00AB01FD">
        <w:rPr>
          <w:sz w:val="22"/>
          <w:szCs w:val="22"/>
          <w:lang w:val="en-GB"/>
        </w:rPr>
        <w:t xml:space="preserve"> </w:t>
      </w:r>
      <w:r w:rsidRPr="00237192">
        <w:rPr>
          <w:sz w:val="22"/>
          <w:szCs w:val="22"/>
          <w:lang w:val="en-GB"/>
        </w:rPr>
        <w:t xml:space="preserve">Fondul Proprietatea SA </w:t>
      </w:r>
    </w:p>
    <w:p w:rsidR="00FE437F" w:rsidP="00FE437F" w:rsidRDefault="006143F5" w14:paraId="368572D4" w14:textId="1EF06B7F">
      <w:pPr>
        <w:jc w:val="center"/>
        <w:rPr>
          <w:sz w:val="22"/>
          <w:szCs w:val="22"/>
          <w:lang w:val="en-GB"/>
        </w:rPr>
      </w:pPr>
      <w:r w:rsidRPr="00237192">
        <w:rPr>
          <w:sz w:val="22"/>
          <w:szCs w:val="22"/>
          <w:lang w:val="en-GB"/>
        </w:rPr>
        <w:t xml:space="preserve">of </w:t>
      </w:r>
      <w:r w:rsidR="00961819">
        <w:rPr>
          <w:sz w:val="22"/>
          <w:szCs w:val="22"/>
          <w:lang w:val="en-GB"/>
        </w:rPr>
        <w:t xml:space="preserve">20/21 November </w:t>
      </w:r>
      <w:r w:rsidR="00FE437F">
        <w:rPr>
          <w:sz w:val="22"/>
          <w:szCs w:val="22"/>
          <w:lang w:val="en-GB"/>
        </w:rPr>
        <w:t>2025</w:t>
      </w:r>
    </w:p>
    <w:p w:rsidR="00AB01FD" w:rsidP="00AB01FD" w:rsidRDefault="00AB01FD" w14:paraId="16A8783E" w14:textId="38930316">
      <w:pPr>
        <w:jc w:val="center"/>
        <w:rPr>
          <w:sz w:val="22"/>
          <w:szCs w:val="22"/>
          <w:lang w:val="en-GB"/>
        </w:rPr>
      </w:pPr>
      <w:r>
        <w:rPr>
          <w:sz w:val="22"/>
          <w:szCs w:val="22"/>
          <w:lang w:val="en-GB"/>
        </w:rPr>
        <w:t>valid for the first and second convening</w:t>
      </w:r>
    </w:p>
    <w:p w:rsidRPr="00237192" w:rsidR="00C27BB5" w:rsidP="00A50EC8" w:rsidRDefault="00C27BB5" w14:paraId="0F1D8E5E" w14:textId="5819A5E2">
      <w:pPr>
        <w:jc w:val="center"/>
        <w:rPr>
          <w:sz w:val="22"/>
          <w:szCs w:val="22"/>
          <w:lang w:val="en-GB"/>
        </w:rPr>
      </w:pPr>
      <w:r w:rsidRPr="00237192">
        <w:rPr>
          <w:sz w:val="22"/>
          <w:szCs w:val="22"/>
          <w:lang w:val="en-GB"/>
        </w:rPr>
        <w:t>(</w:t>
      </w:r>
      <w:r w:rsidRPr="00237192">
        <w:rPr>
          <w:sz w:val="22"/>
          <w:szCs w:val="22"/>
          <w:lang w:val="ro-RO"/>
        </w:rPr>
        <w:t>„</w:t>
      </w:r>
      <w:r w:rsidRPr="006F3B8E" w:rsidR="00237192">
        <w:rPr>
          <w:b/>
          <w:bCs/>
          <w:sz w:val="22"/>
          <w:szCs w:val="22"/>
          <w:lang w:val="ro-RO"/>
        </w:rPr>
        <w:t>OGMS</w:t>
      </w:r>
      <w:r w:rsidRPr="00237192">
        <w:rPr>
          <w:sz w:val="22"/>
          <w:szCs w:val="22"/>
          <w:lang w:val="ro-RO"/>
        </w:rPr>
        <w:t>”</w:t>
      </w:r>
      <w:r w:rsidRPr="00237192">
        <w:rPr>
          <w:sz w:val="22"/>
          <w:szCs w:val="22"/>
          <w:lang w:val="en-GB"/>
        </w:rPr>
        <w:t>)</w:t>
      </w:r>
    </w:p>
    <w:p w:rsidRPr="00237192" w:rsidR="00170CF2" w:rsidP="00A87D80" w:rsidRDefault="00C27BB5" w14:paraId="246589BA" w14:textId="6A82034B">
      <w:pPr>
        <w:jc w:val="center"/>
        <w:rPr>
          <w:sz w:val="22"/>
          <w:szCs w:val="22"/>
          <w:lang w:val="en-GB"/>
        </w:rPr>
      </w:pPr>
      <w:r w:rsidRPr="00237192">
        <w:rPr>
          <w:i/>
          <w:sz w:val="22"/>
          <w:szCs w:val="22"/>
          <w:lang w:val="en-GB"/>
        </w:rPr>
        <w:t xml:space="preserve">- </w:t>
      </w:r>
      <w:r w:rsidRPr="00237192" w:rsidR="00314598">
        <w:rPr>
          <w:i/>
          <w:sz w:val="22"/>
          <w:szCs w:val="22"/>
          <w:lang w:val="en-GB"/>
        </w:rPr>
        <w:t>i</w:t>
      </w:r>
      <w:r w:rsidRPr="00237192" w:rsidR="00170CF2">
        <w:rPr>
          <w:i/>
          <w:sz w:val="22"/>
          <w:szCs w:val="22"/>
          <w:lang w:val="en-GB"/>
        </w:rPr>
        <w:t xml:space="preserve">ndicative </w:t>
      </w:r>
      <w:r w:rsidRPr="00237192">
        <w:rPr>
          <w:i/>
          <w:sz w:val="22"/>
          <w:szCs w:val="22"/>
          <w:lang w:val="en-GB"/>
        </w:rPr>
        <w:t>form</w:t>
      </w:r>
      <w:r w:rsidRPr="00237192" w:rsidR="00170CF2">
        <w:rPr>
          <w:sz w:val="22"/>
          <w:szCs w:val="22"/>
          <w:lang w:val="en-GB"/>
        </w:rPr>
        <w:t xml:space="preserve"> </w:t>
      </w:r>
      <w:r w:rsidRPr="00237192" w:rsidR="00170CF2">
        <w:rPr>
          <w:b/>
          <w:bCs/>
          <w:sz w:val="22"/>
          <w:szCs w:val="22"/>
          <w:lang w:val="en-GB"/>
        </w:rPr>
        <w:t>-</w:t>
      </w:r>
    </w:p>
    <w:p w:rsidRPr="00237192" w:rsidR="00170CF2" w:rsidP="00170CF2" w:rsidRDefault="00170CF2" w14:paraId="66615CB1" w14:textId="77777777">
      <w:pPr>
        <w:autoSpaceDE w:val="0"/>
        <w:autoSpaceDN w:val="0"/>
        <w:adjustRightInd w:val="0"/>
        <w:rPr>
          <w:sz w:val="22"/>
          <w:szCs w:val="22"/>
          <w:lang w:val="en-GB"/>
        </w:rPr>
      </w:pPr>
    </w:p>
    <w:p w:rsidRPr="00237192" w:rsidR="006143F5" w:rsidP="006143F5" w:rsidRDefault="006143F5" w14:paraId="6DD27EF2" w14:textId="77777777">
      <w:pPr>
        <w:autoSpaceDE w:val="0"/>
        <w:autoSpaceDN w:val="0"/>
        <w:adjustRightInd w:val="0"/>
        <w:jc w:val="both"/>
        <w:rPr>
          <w:sz w:val="22"/>
          <w:szCs w:val="22"/>
          <w:lang w:val="en-GB"/>
        </w:rPr>
      </w:pPr>
      <w:r w:rsidRPr="00237192">
        <w:rPr>
          <w:sz w:val="22"/>
          <w:szCs w:val="22"/>
          <w:lang w:val="en-GB"/>
        </w:rPr>
        <w:t>The undersigned, [________________________________],</w:t>
      </w:r>
    </w:p>
    <w:p w:rsidRPr="00237192" w:rsidR="006143F5" w:rsidP="006143F5" w:rsidRDefault="006143F5" w14:paraId="6BB97C57" w14:textId="77777777">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legal name of the legal person shareholder)</w:t>
      </w:r>
    </w:p>
    <w:p w:rsidRPr="00237192" w:rsidR="006143F5" w:rsidP="006143F5" w:rsidRDefault="006143F5" w14:paraId="45E409BF" w14:textId="77777777">
      <w:pPr>
        <w:autoSpaceDE w:val="0"/>
        <w:autoSpaceDN w:val="0"/>
        <w:adjustRightInd w:val="0"/>
        <w:jc w:val="both"/>
        <w:rPr>
          <w:sz w:val="22"/>
          <w:szCs w:val="22"/>
          <w:lang w:val="en-GB"/>
        </w:rPr>
      </w:pPr>
    </w:p>
    <w:p w:rsidRPr="00237192" w:rsidR="006143F5" w:rsidP="006143F5" w:rsidRDefault="006143F5" w14:paraId="5856ACD7" w14:textId="50956439">
      <w:pPr>
        <w:autoSpaceDE w:val="0"/>
        <w:autoSpaceDN w:val="0"/>
        <w:adjustRightInd w:val="0"/>
        <w:jc w:val="both"/>
        <w:rPr>
          <w:sz w:val="22"/>
          <w:szCs w:val="22"/>
          <w:lang w:val="en-GB"/>
        </w:rPr>
      </w:pPr>
      <w:r w:rsidRPr="00237192">
        <w:rPr>
          <w:sz w:val="22"/>
          <w:szCs w:val="22"/>
          <w:lang w:val="en-GB"/>
        </w:rPr>
        <w:t>headquartered in [_______________________________________], registered with the Trade Registry/equivalent body for non-resident legal person under no. [_____________________], having sole registration code/equivalent number for non-resident legal person [_____________________],</w:t>
      </w:r>
      <w:r w:rsidRPr="00237192" w:rsidR="00C27BB5">
        <w:rPr>
          <w:sz w:val="22"/>
          <w:szCs w:val="22"/>
          <w:lang w:val="en-GB"/>
        </w:rPr>
        <w:t xml:space="preserve"> LEI code (if the case) [_____________________]</w:t>
      </w:r>
    </w:p>
    <w:p w:rsidRPr="00237192" w:rsidR="006143F5" w:rsidP="006143F5" w:rsidRDefault="006143F5" w14:paraId="1031A6C0" w14:textId="77777777">
      <w:pPr>
        <w:autoSpaceDE w:val="0"/>
        <w:autoSpaceDN w:val="0"/>
        <w:adjustRightInd w:val="0"/>
        <w:jc w:val="both"/>
        <w:rPr>
          <w:sz w:val="22"/>
          <w:szCs w:val="22"/>
          <w:lang w:val="en-GB"/>
        </w:rPr>
      </w:pPr>
    </w:p>
    <w:p w:rsidRPr="00237192" w:rsidR="006143F5" w:rsidP="006143F5" w:rsidRDefault="006143F5" w14:paraId="592193B1" w14:textId="77777777">
      <w:pPr>
        <w:autoSpaceDE w:val="0"/>
        <w:autoSpaceDN w:val="0"/>
        <w:adjustRightInd w:val="0"/>
        <w:jc w:val="both"/>
        <w:rPr>
          <w:sz w:val="22"/>
          <w:szCs w:val="22"/>
          <w:lang w:val="en-GB"/>
        </w:rPr>
      </w:pPr>
      <w:r w:rsidRPr="00237192">
        <w:rPr>
          <w:sz w:val="22"/>
          <w:szCs w:val="22"/>
          <w:lang w:val="en-GB"/>
        </w:rPr>
        <w:t>legally represented by [________________________________]</w:t>
      </w:r>
    </w:p>
    <w:p w:rsidRPr="00237192" w:rsidR="006143F5" w:rsidP="006143F5" w:rsidRDefault="006143F5" w14:paraId="421C0668" w14:textId="77777777">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first name and last name of the legal representative of the legal person shareholder, as these are provided in the documents attesting the legal representative capacity)</w:t>
      </w:r>
    </w:p>
    <w:p w:rsidRPr="00237192" w:rsidR="006143F5" w:rsidP="006143F5" w:rsidRDefault="006143F5" w14:paraId="482E983A" w14:textId="77777777">
      <w:pPr>
        <w:autoSpaceDE w:val="0"/>
        <w:autoSpaceDN w:val="0"/>
        <w:adjustRightInd w:val="0"/>
        <w:jc w:val="both"/>
        <w:rPr>
          <w:sz w:val="22"/>
          <w:szCs w:val="22"/>
          <w:lang w:val="en-GB"/>
        </w:rPr>
      </w:pPr>
    </w:p>
    <w:p w:rsidRPr="00237192" w:rsidR="006143F5" w:rsidP="006143F5" w:rsidRDefault="006143F5" w14:paraId="3E92B7BF" w14:textId="2F43EC50">
      <w:pPr>
        <w:autoSpaceDE w:val="0"/>
        <w:autoSpaceDN w:val="0"/>
        <w:adjustRightInd w:val="0"/>
        <w:jc w:val="both"/>
        <w:rPr>
          <w:sz w:val="22"/>
          <w:szCs w:val="22"/>
          <w:lang w:val="en-GB"/>
        </w:rPr>
      </w:pPr>
      <w:r w:rsidRPr="00237192">
        <w:rPr>
          <w:sz w:val="22"/>
          <w:szCs w:val="22"/>
          <w:lang w:val="en-GB"/>
        </w:rPr>
        <w:t xml:space="preserve">holding a number of [____________________] shares representing [____] % from a total of [____________________] shares issued by FONDUL PROPRIETATEA S.A., registered with the Bucharest Trade Registry under no. J40/21901/28.12.2005, having sole registration code 18253260, headquartered in </w:t>
      </w:r>
      <w:proofErr w:type="spellStart"/>
      <w:r w:rsidRPr="00237192">
        <w:rPr>
          <w:sz w:val="22"/>
          <w:szCs w:val="22"/>
          <w:lang w:val="en-GB"/>
        </w:rPr>
        <w:t>Buzeşti</w:t>
      </w:r>
      <w:proofErr w:type="spellEnd"/>
      <w:r w:rsidRPr="00237192">
        <w:rPr>
          <w:sz w:val="22"/>
          <w:szCs w:val="22"/>
          <w:lang w:val="en-GB"/>
        </w:rPr>
        <w:t xml:space="preserve"> Street 7</w:t>
      </w:r>
      <w:r w:rsidRPr="00237192" w:rsidR="009425B9">
        <w:rPr>
          <w:sz w:val="22"/>
          <w:szCs w:val="22"/>
          <w:lang w:val="en-GB"/>
        </w:rPr>
        <w:t>6</w:t>
      </w:r>
      <w:r w:rsidRPr="00237192">
        <w:rPr>
          <w:sz w:val="22"/>
          <w:szCs w:val="22"/>
          <w:lang w:val="en-GB"/>
        </w:rPr>
        <w:t>-80, 7</w:t>
      </w:r>
      <w:r w:rsidRPr="00237192">
        <w:rPr>
          <w:sz w:val="22"/>
          <w:szCs w:val="22"/>
          <w:vertAlign w:val="superscript"/>
          <w:lang w:val="en-GB"/>
        </w:rPr>
        <w:t>th</w:t>
      </w:r>
      <w:r w:rsidRPr="00237192">
        <w:rPr>
          <w:sz w:val="22"/>
          <w:szCs w:val="22"/>
          <w:lang w:val="en-GB"/>
        </w:rPr>
        <w:t xml:space="preserve"> floor, 1st District, Bucharest 011017, Romania (the </w:t>
      </w:r>
      <w:r w:rsidRPr="00237192">
        <w:rPr>
          <w:b/>
          <w:sz w:val="22"/>
          <w:szCs w:val="22"/>
          <w:lang w:val="en-GB"/>
        </w:rPr>
        <w:t>Company</w:t>
      </w:r>
      <w:r w:rsidRPr="00237192">
        <w:rPr>
          <w:sz w:val="22"/>
          <w:szCs w:val="22"/>
          <w:lang w:val="en-GB"/>
        </w:rPr>
        <w:t xml:space="preserve">), </w:t>
      </w:r>
    </w:p>
    <w:p w:rsidRPr="00237192" w:rsidR="006143F5" w:rsidP="006143F5" w:rsidRDefault="006143F5" w14:paraId="1D9FE997" w14:textId="77777777">
      <w:pPr>
        <w:autoSpaceDE w:val="0"/>
        <w:autoSpaceDN w:val="0"/>
        <w:adjustRightInd w:val="0"/>
        <w:jc w:val="both"/>
        <w:rPr>
          <w:sz w:val="22"/>
          <w:szCs w:val="22"/>
          <w:lang w:val="en-GB"/>
        </w:rPr>
      </w:pPr>
    </w:p>
    <w:p w:rsidRPr="00237192" w:rsidR="006143F5" w:rsidP="006143F5" w:rsidRDefault="006143F5" w14:paraId="1AD0F91C" w14:textId="74B40314">
      <w:pPr>
        <w:autoSpaceDE w:val="0"/>
        <w:autoSpaceDN w:val="0"/>
        <w:adjustRightInd w:val="0"/>
        <w:jc w:val="both"/>
        <w:rPr>
          <w:sz w:val="22"/>
          <w:szCs w:val="22"/>
          <w:lang w:val="en-GB"/>
        </w:rPr>
      </w:pPr>
      <w:r w:rsidRPr="00237192">
        <w:rPr>
          <w:sz w:val="22"/>
          <w:szCs w:val="22"/>
          <w:lang w:val="en-GB"/>
        </w:rPr>
        <w:t xml:space="preserve">which entitles us to a number of [____________________] voting rights, representing [____] % of the paid-up share capital and [____]% of the total voting rights in </w:t>
      </w:r>
      <w:r w:rsidRPr="00237192" w:rsidR="00237192">
        <w:rPr>
          <w:sz w:val="22"/>
          <w:szCs w:val="22"/>
          <w:lang w:val="en-GB"/>
        </w:rPr>
        <w:t>OGMS</w:t>
      </w:r>
      <w:r w:rsidRPr="00237192">
        <w:rPr>
          <w:sz w:val="22"/>
          <w:szCs w:val="22"/>
          <w:lang w:val="en-GB"/>
        </w:rPr>
        <w:t>,</w:t>
      </w:r>
    </w:p>
    <w:p w:rsidRPr="00237192" w:rsidR="006143F5" w:rsidP="006143F5" w:rsidRDefault="006143F5" w14:paraId="5DF163F0" w14:textId="77777777">
      <w:pPr>
        <w:autoSpaceDE w:val="0"/>
        <w:autoSpaceDN w:val="0"/>
        <w:adjustRightInd w:val="0"/>
        <w:jc w:val="both"/>
        <w:rPr>
          <w:sz w:val="22"/>
          <w:szCs w:val="22"/>
          <w:lang w:val="en-GB"/>
        </w:rPr>
      </w:pPr>
    </w:p>
    <w:p w:rsidRPr="00237192" w:rsidR="006143F5" w:rsidP="006143F5" w:rsidRDefault="006143F5" w14:paraId="1093D3F1" w14:textId="77777777">
      <w:pPr>
        <w:autoSpaceDE w:val="0"/>
        <w:autoSpaceDN w:val="0"/>
        <w:adjustRightInd w:val="0"/>
        <w:jc w:val="both"/>
        <w:rPr>
          <w:sz w:val="22"/>
          <w:szCs w:val="22"/>
          <w:lang w:val="en-GB"/>
        </w:rPr>
      </w:pPr>
      <w:r w:rsidRPr="00237192">
        <w:rPr>
          <w:sz w:val="22"/>
          <w:szCs w:val="22"/>
          <w:lang w:val="en-GB"/>
        </w:rPr>
        <w:t xml:space="preserve">hereby empower: </w:t>
      </w:r>
    </w:p>
    <w:p w:rsidRPr="00237192" w:rsidR="006143F5" w:rsidP="006143F5" w:rsidRDefault="006143F5" w14:paraId="123691A8" w14:textId="77777777">
      <w:pPr>
        <w:autoSpaceDE w:val="0"/>
        <w:autoSpaceDN w:val="0"/>
        <w:adjustRightInd w:val="0"/>
        <w:jc w:val="both"/>
        <w:rPr>
          <w:sz w:val="22"/>
          <w:szCs w:val="22"/>
          <w:lang w:val="en-GB"/>
        </w:rPr>
      </w:pPr>
    </w:p>
    <w:p w:rsidRPr="00237192" w:rsidR="006143F5" w:rsidP="006143F5" w:rsidRDefault="006143F5" w14:paraId="527E89FC" w14:textId="77777777">
      <w:pPr>
        <w:autoSpaceDE w:val="0"/>
        <w:autoSpaceDN w:val="0"/>
        <w:adjustRightInd w:val="0"/>
        <w:jc w:val="both"/>
        <w:rPr>
          <w:sz w:val="22"/>
          <w:szCs w:val="22"/>
          <w:lang w:val="en-GB"/>
        </w:rPr>
      </w:pPr>
      <w:r w:rsidRPr="00237192">
        <w:rPr>
          <w:sz w:val="22"/>
          <w:szCs w:val="22"/>
          <w:lang w:val="en-GB"/>
        </w:rPr>
        <w:t xml:space="preserve">[________________________________] </w:t>
      </w:r>
    </w:p>
    <w:p w:rsidRPr="00237192" w:rsidR="006143F5" w:rsidP="006143F5" w:rsidRDefault="006143F5" w14:paraId="5B806BFA" w14:textId="77777777">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first name and last name of the empowered individual being granted this power of attorney) </w:t>
      </w:r>
    </w:p>
    <w:p w:rsidRPr="00237192" w:rsidR="006143F5" w:rsidP="006143F5" w:rsidRDefault="006143F5" w14:paraId="68BB3115" w14:textId="77777777">
      <w:pPr>
        <w:autoSpaceDE w:val="0"/>
        <w:autoSpaceDN w:val="0"/>
        <w:adjustRightInd w:val="0"/>
        <w:jc w:val="both"/>
        <w:rPr>
          <w:sz w:val="22"/>
          <w:szCs w:val="22"/>
          <w:lang w:val="en-GB"/>
        </w:rPr>
      </w:pPr>
    </w:p>
    <w:p w:rsidRPr="00237192" w:rsidR="006143F5" w:rsidP="006143F5" w:rsidRDefault="006143F5" w14:paraId="7056D59B" w14:textId="77777777">
      <w:pPr>
        <w:autoSpaceDE w:val="0"/>
        <w:autoSpaceDN w:val="0"/>
        <w:adjustRightInd w:val="0"/>
        <w:jc w:val="both"/>
        <w:rPr>
          <w:sz w:val="22"/>
          <w:szCs w:val="22"/>
          <w:lang w:val="en-GB"/>
        </w:rPr>
      </w:pPr>
      <w:r w:rsidRPr="00237192">
        <w:rPr>
          <w:sz w:val="22"/>
          <w:szCs w:val="22"/>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rsidRPr="00237192" w:rsidR="006143F5" w:rsidP="006143F5" w:rsidRDefault="006143F5" w14:paraId="4E4D997D" w14:textId="77777777">
      <w:pPr>
        <w:autoSpaceDE w:val="0"/>
        <w:autoSpaceDN w:val="0"/>
        <w:adjustRightInd w:val="0"/>
        <w:jc w:val="both"/>
        <w:rPr>
          <w:sz w:val="22"/>
          <w:szCs w:val="22"/>
          <w:lang w:val="en-GB"/>
        </w:rPr>
      </w:pPr>
    </w:p>
    <w:p w:rsidRPr="00237192" w:rsidR="006143F5" w:rsidP="006143F5" w:rsidRDefault="006143F5" w14:paraId="120625C2" w14:textId="77777777">
      <w:pPr>
        <w:autoSpaceDE w:val="0"/>
        <w:autoSpaceDN w:val="0"/>
        <w:adjustRightInd w:val="0"/>
        <w:jc w:val="both"/>
        <w:rPr>
          <w:b/>
          <w:sz w:val="22"/>
          <w:szCs w:val="22"/>
          <w:lang w:val="en-GB"/>
        </w:rPr>
      </w:pPr>
      <w:r w:rsidRPr="00237192">
        <w:rPr>
          <w:b/>
          <w:sz w:val="22"/>
          <w:szCs w:val="22"/>
          <w:lang w:val="en-GB"/>
        </w:rPr>
        <w:t>OR</w:t>
      </w:r>
    </w:p>
    <w:p w:rsidRPr="00237192" w:rsidR="006143F5" w:rsidP="006143F5" w:rsidRDefault="006143F5" w14:paraId="10E332AF" w14:textId="77777777">
      <w:pPr>
        <w:autoSpaceDE w:val="0"/>
        <w:autoSpaceDN w:val="0"/>
        <w:adjustRightInd w:val="0"/>
        <w:jc w:val="both"/>
        <w:rPr>
          <w:b/>
          <w:sz w:val="22"/>
          <w:szCs w:val="22"/>
          <w:lang w:val="en-GB"/>
        </w:rPr>
      </w:pPr>
    </w:p>
    <w:p w:rsidRPr="00237192" w:rsidR="006143F5" w:rsidP="006143F5" w:rsidRDefault="006143F5" w14:paraId="771C27AE" w14:textId="77777777">
      <w:pPr>
        <w:autoSpaceDE w:val="0"/>
        <w:autoSpaceDN w:val="0"/>
        <w:adjustRightInd w:val="0"/>
        <w:jc w:val="both"/>
        <w:rPr>
          <w:sz w:val="22"/>
          <w:szCs w:val="22"/>
          <w:lang w:val="en-GB"/>
        </w:rPr>
      </w:pPr>
      <w:r w:rsidRPr="00237192">
        <w:rPr>
          <w:sz w:val="22"/>
          <w:szCs w:val="22"/>
          <w:lang w:val="en-GB"/>
        </w:rPr>
        <w:t>[________________________________________]</w:t>
      </w:r>
    </w:p>
    <w:p w:rsidRPr="00237192" w:rsidR="006143F5" w:rsidP="006143F5" w:rsidRDefault="006143F5" w14:paraId="13A063DF" w14:textId="77777777">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legal name of the empowered legal person being granted this power of attorney)</w:t>
      </w:r>
    </w:p>
    <w:p w:rsidRPr="00237192" w:rsidR="006143F5" w:rsidP="006143F5" w:rsidRDefault="006143F5" w14:paraId="0B241F3B" w14:textId="77777777">
      <w:pPr>
        <w:autoSpaceDE w:val="0"/>
        <w:autoSpaceDN w:val="0"/>
        <w:adjustRightInd w:val="0"/>
        <w:jc w:val="both"/>
        <w:rPr>
          <w:sz w:val="22"/>
          <w:szCs w:val="22"/>
          <w:lang w:val="en-GB"/>
        </w:rPr>
      </w:pPr>
    </w:p>
    <w:p w:rsidRPr="00237192" w:rsidR="006143F5" w:rsidP="006143F5" w:rsidRDefault="006143F5" w14:paraId="03CEDD46" w14:textId="77777777">
      <w:pPr>
        <w:autoSpaceDE w:val="0"/>
        <w:autoSpaceDN w:val="0"/>
        <w:adjustRightInd w:val="0"/>
        <w:jc w:val="both"/>
        <w:rPr>
          <w:sz w:val="22"/>
          <w:szCs w:val="22"/>
          <w:lang w:val="en-GB"/>
        </w:rPr>
      </w:pPr>
      <w:r w:rsidRPr="00237192">
        <w:rPr>
          <w:sz w:val="22"/>
          <w:szCs w:val="22"/>
          <w:lang w:val="en-GB"/>
        </w:rPr>
        <w:t xml:space="preserve">headquartered in [__________________________________________], registered with the Trade Registry/equivalent body for non-resident legal person under no. [_______________________], having sole registration code/equivalent number for non-resident legal person [_______________________], </w:t>
      </w:r>
    </w:p>
    <w:p w:rsidRPr="00237192" w:rsidR="006143F5" w:rsidP="006143F5" w:rsidRDefault="006143F5" w14:paraId="320B7ACE" w14:textId="77777777">
      <w:pPr>
        <w:autoSpaceDE w:val="0"/>
        <w:autoSpaceDN w:val="0"/>
        <w:adjustRightInd w:val="0"/>
        <w:jc w:val="both"/>
        <w:rPr>
          <w:sz w:val="22"/>
          <w:szCs w:val="22"/>
          <w:lang w:val="en-GB"/>
        </w:rPr>
      </w:pPr>
    </w:p>
    <w:p w:rsidRPr="00237192" w:rsidR="006143F5" w:rsidP="006143F5" w:rsidRDefault="006143F5" w14:paraId="413C82B8" w14:textId="77777777">
      <w:pPr>
        <w:autoSpaceDE w:val="0"/>
        <w:autoSpaceDN w:val="0"/>
        <w:adjustRightInd w:val="0"/>
        <w:jc w:val="both"/>
        <w:rPr>
          <w:sz w:val="22"/>
          <w:szCs w:val="22"/>
          <w:lang w:val="en-GB"/>
        </w:rPr>
      </w:pPr>
      <w:r w:rsidRPr="00237192">
        <w:rPr>
          <w:sz w:val="22"/>
          <w:szCs w:val="22"/>
          <w:lang w:val="en-GB"/>
        </w:rPr>
        <w:t>legally represented by [___________________________]</w:t>
      </w:r>
    </w:p>
    <w:p w:rsidRPr="00237192" w:rsidR="006143F5" w:rsidP="006143F5" w:rsidRDefault="006143F5" w14:paraId="5A4C2567" w14:textId="77777777">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first name and last name of the legal representative)</w:t>
      </w:r>
    </w:p>
    <w:p w:rsidRPr="00237192" w:rsidR="006143F5" w:rsidP="006143F5" w:rsidRDefault="006143F5" w14:paraId="3643BD8E" w14:textId="77777777">
      <w:pPr>
        <w:autoSpaceDE w:val="0"/>
        <w:autoSpaceDN w:val="0"/>
        <w:adjustRightInd w:val="0"/>
        <w:jc w:val="both"/>
        <w:rPr>
          <w:sz w:val="22"/>
          <w:szCs w:val="22"/>
          <w:lang w:val="en-GB"/>
        </w:rPr>
      </w:pPr>
    </w:p>
    <w:p w:rsidRPr="00237192" w:rsidR="006143F5" w:rsidP="006143F5" w:rsidRDefault="006143F5" w14:paraId="5FCBC1F5" w14:textId="77777777">
      <w:pPr>
        <w:tabs>
          <w:tab w:val="num" w:pos="360"/>
        </w:tabs>
        <w:autoSpaceDE w:val="0"/>
        <w:autoSpaceDN w:val="0"/>
        <w:adjustRightInd w:val="0"/>
        <w:jc w:val="both"/>
        <w:rPr>
          <w:sz w:val="22"/>
          <w:szCs w:val="22"/>
          <w:lang w:val="en-GB"/>
        </w:rPr>
      </w:pPr>
      <w:r w:rsidRPr="00237192">
        <w:rPr>
          <w:sz w:val="22"/>
          <w:szCs w:val="22"/>
          <w:lang w:val="en-GB"/>
        </w:rPr>
        <w:t xml:space="preserve">identified with identity card/passport series [____], no. [___________], issued by [________________________], on [______________], personal registration number </w:t>
      </w:r>
      <w:r w:rsidRPr="00237192">
        <w:rPr>
          <w:sz w:val="22"/>
          <w:szCs w:val="22"/>
          <w:lang w:val="en-GB"/>
        </w:rPr>
        <w:lastRenderedPageBreak/>
        <w:t xml:space="preserve">[________________________], domiciled in [_____________________________________________________________], </w:t>
      </w:r>
    </w:p>
    <w:p w:rsidRPr="00237192" w:rsidR="00314598" w:rsidP="006143F5" w:rsidRDefault="00314598" w14:paraId="61322065" w14:textId="77777777">
      <w:pPr>
        <w:tabs>
          <w:tab w:val="num" w:pos="360"/>
        </w:tabs>
        <w:autoSpaceDE w:val="0"/>
        <w:autoSpaceDN w:val="0"/>
        <w:adjustRightInd w:val="0"/>
        <w:jc w:val="both"/>
        <w:rPr>
          <w:sz w:val="22"/>
          <w:szCs w:val="22"/>
          <w:lang w:val="en-GB"/>
        </w:rPr>
      </w:pPr>
    </w:p>
    <w:p w:rsidR="006143F5" w:rsidP="006143F5" w:rsidRDefault="006143F5" w14:paraId="7C8737CF" w14:textId="601A09DF">
      <w:pPr>
        <w:tabs>
          <w:tab w:val="num" w:pos="360"/>
        </w:tabs>
        <w:autoSpaceDE w:val="0"/>
        <w:autoSpaceDN w:val="0"/>
        <w:adjustRightInd w:val="0"/>
        <w:jc w:val="both"/>
        <w:rPr>
          <w:sz w:val="22"/>
          <w:szCs w:val="22"/>
          <w:lang w:val="en-GB"/>
        </w:rPr>
      </w:pPr>
      <w:r w:rsidRPr="00237192">
        <w:rPr>
          <w:sz w:val="22"/>
          <w:szCs w:val="22"/>
          <w:lang w:val="en-GB"/>
        </w:rPr>
        <w:t xml:space="preserve">as our representative in the </w:t>
      </w:r>
      <w:r w:rsidR="00AB01FD">
        <w:rPr>
          <w:sz w:val="22"/>
          <w:szCs w:val="22"/>
          <w:lang w:val="en-GB"/>
        </w:rPr>
        <w:t xml:space="preserve">Company’s </w:t>
      </w:r>
      <w:r w:rsidRPr="00237192" w:rsidR="00237192">
        <w:rPr>
          <w:sz w:val="22"/>
          <w:szCs w:val="22"/>
          <w:lang w:val="en-GB"/>
        </w:rPr>
        <w:t>OGMS</w:t>
      </w:r>
      <w:r w:rsidRPr="00237192">
        <w:rPr>
          <w:sz w:val="22"/>
          <w:szCs w:val="22"/>
          <w:lang w:val="en-GB"/>
        </w:rPr>
        <w:t xml:space="preserve"> which will take place on</w:t>
      </w:r>
      <w:r w:rsidR="005F0341">
        <w:rPr>
          <w:sz w:val="22"/>
          <w:szCs w:val="22"/>
          <w:lang w:val="en-GB"/>
        </w:rPr>
        <w:t xml:space="preserve"> </w:t>
      </w:r>
      <w:r w:rsidRPr="0031350A" w:rsidR="00961819">
        <w:rPr>
          <w:rFonts w:cs="Arial"/>
          <w:b/>
          <w:bCs/>
          <w:sz w:val="22"/>
          <w:szCs w:val="22"/>
          <w:lang w:val="en-GB"/>
        </w:rPr>
        <w:t xml:space="preserve">20 November </w:t>
      </w:r>
      <w:r w:rsidRPr="006C4E57" w:rsidR="00961819">
        <w:rPr>
          <w:rFonts w:cs="Arial"/>
          <w:b/>
          <w:bCs/>
          <w:sz w:val="22"/>
          <w:szCs w:val="22"/>
          <w:lang w:val="en-GB"/>
        </w:rPr>
        <w:t>2025 (first convening)</w:t>
      </w:r>
      <w:r w:rsidRPr="006C4E57" w:rsidR="00961819">
        <w:rPr>
          <w:rFonts w:cs="Arial"/>
          <w:b/>
          <w:sz w:val="22"/>
          <w:szCs w:val="22"/>
          <w:lang w:val="en-GB"/>
        </w:rPr>
        <w:t xml:space="preserve">, </w:t>
      </w:r>
      <w:r w:rsidRPr="00DA4319" w:rsidR="00961819">
        <w:rPr>
          <w:rFonts w:cs="Arial"/>
          <w:b/>
          <w:sz w:val="22"/>
          <w:szCs w:val="22"/>
          <w:lang w:val="en-GB"/>
        </w:rPr>
        <w:t>12:00 PM</w:t>
      </w:r>
      <w:r w:rsidRPr="00DA4319" w:rsidR="00961819">
        <w:rPr>
          <w:rFonts w:cs="Arial"/>
          <w:sz w:val="22"/>
          <w:szCs w:val="22"/>
          <w:lang w:val="en-GB"/>
        </w:rPr>
        <w:t xml:space="preserve"> </w:t>
      </w:r>
      <w:r w:rsidRPr="006C4E57" w:rsidR="00961819">
        <w:rPr>
          <w:rFonts w:cs="Arial"/>
          <w:sz w:val="22"/>
          <w:szCs w:val="22"/>
          <w:lang w:val="en-GB"/>
        </w:rPr>
        <w:t xml:space="preserve">(Romanian time), at </w:t>
      </w:r>
      <w:r w:rsidRPr="0031350A" w:rsidR="00961819">
        <w:rPr>
          <w:rFonts w:cs="Arial"/>
          <w:b/>
          <w:bCs/>
          <w:sz w:val="22"/>
          <w:szCs w:val="22"/>
        </w:rPr>
        <w:t>“INTERCONTINENTAL ATHÉNÉE PALACE BUCHAREST” Hotel</w:t>
      </w:r>
      <w:r w:rsidRPr="0031350A" w:rsidR="00961819">
        <w:rPr>
          <w:rFonts w:cs="Arial"/>
          <w:sz w:val="22"/>
          <w:szCs w:val="22"/>
        </w:rPr>
        <w:t xml:space="preserve">, Le Diplomate Salon, 1-3 </w:t>
      </w:r>
      <w:proofErr w:type="spellStart"/>
      <w:r w:rsidRPr="0031350A" w:rsidR="00961819">
        <w:rPr>
          <w:rFonts w:cs="Arial"/>
          <w:sz w:val="22"/>
          <w:szCs w:val="22"/>
        </w:rPr>
        <w:t>Episcopiei</w:t>
      </w:r>
      <w:proofErr w:type="spellEnd"/>
      <w:r w:rsidRPr="0031350A" w:rsidR="00961819">
        <w:rPr>
          <w:rFonts w:cs="Arial"/>
          <w:sz w:val="22"/>
          <w:szCs w:val="22"/>
        </w:rPr>
        <w:t xml:space="preserve"> Street, 1st District, Bucharest, 010292, Romania</w:t>
      </w:r>
      <w:r w:rsidRPr="006C4E57" w:rsidR="00961819">
        <w:rPr>
          <w:rFonts w:cs="Arial"/>
          <w:sz w:val="22"/>
          <w:szCs w:val="22"/>
        </w:rPr>
        <w:t xml:space="preserve">, respectively on </w:t>
      </w:r>
      <w:r w:rsidRPr="0031350A" w:rsidR="00961819">
        <w:rPr>
          <w:rFonts w:cs="Arial"/>
          <w:b/>
          <w:bCs/>
          <w:sz w:val="22"/>
          <w:szCs w:val="22"/>
        </w:rPr>
        <w:t>2</w:t>
      </w:r>
      <w:r w:rsidR="00961819">
        <w:rPr>
          <w:rFonts w:cs="Arial"/>
          <w:b/>
          <w:bCs/>
          <w:sz w:val="22"/>
          <w:szCs w:val="22"/>
        </w:rPr>
        <w:t>1</w:t>
      </w:r>
      <w:r w:rsidRPr="0031350A" w:rsidR="00961819">
        <w:rPr>
          <w:rFonts w:cs="Arial"/>
          <w:b/>
          <w:bCs/>
          <w:sz w:val="22"/>
          <w:szCs w:val="22"/>
        </w:rPr>
        <w:t xml:space="preserve"> November </w:t>
      </w:r>
      <w:r w:rsidRPr="006C4E57" w:rsidR="00961819">
        <w:rPr>
          <w:rFonts w:cs="Arial"/>
          <w:b/>
          <w:bCs/>
          <w:sz w:val="22"/>
          <w:szCs w:val="22"/>
        </w:rPr>
        <w:t>2025</w:t>
      </w:r>
      <w:r w:rsidRPr="006C4E57" w:rsidR="00961819">
        <w:rPr>
          <w:rFonts w:cs="Arial"/>
          <w:sz w:val="22"/>
          <w:szCs w:val="22"/>
        </w:rPr>
        <w:t xml:space="preserve"> (</w:t>
      </w:r>
      <w:r w:rsidRPr="006C4E57" w:rsidR="00961819">
        <w:rPr>
          <w:rFonts w:cs="Arial"/>
          <w:b/>
          <w:bCs/>
          <w:sz w:val="22"/>
          <w:szCs w:val="22"/>
        </w:rPr>
        <w:t>second convening</w:t>
      </w:r>
      <w:r w:rsidRPr="006C4E57" w:rsidR="00961819">
        <w:rPr>
          <w:rFonts w:cs="Arial"/>
          <w:sz w:val="22"/>
          <w:szCs w:val="22"/>
        </w:rPr>
        <w:t xml:space="preserve">), </w:t>
      </w:r>
      <w:r w:rsidRPr="00DA4319" w:rsidR="00961819">
        <w:rPr>
          <w:rFonts w:cs="Arial"/>
          <w:b/>
          <w:sz w:val="22"/>
          <w:szCs w:val="22"/>
          <w:lang w:val="en-GB"/>
        </w:rPr>
        <w:t>12:00 PM</w:t>
      </w:r>
      <w:r w:rsidRPr="00DA4319" w:rsidR="00961819">
        <w:rPr>
          <w:rFonts w:cs="Arial"/>
          <w:sz w:val="22"/>
          <w:szCs w:val="22"/>
          <w:lang w:val="en-GB"/>
        </w:rPr>
        <w:t xml:space="preserve"> </w:t>
      </w:r>
      <w:r w:rsidRPr="006C4E57" w:rsidR="00961819">
        <w:rPr>
          <w:rFonts w:cs="Arial"/>
          <w:sz w:val="22"/>
          <w:szCs w:val="22"/>
        </w:rPr>
        <w:t xml:space="preserve">(Romanian time) at </w:t>
      </w:r>
      <w:r w:rsidRPr="008A457C" w:rsidR="00961819">
        <w:rPr>
          <w:rFonts w:cs="Arial"/>
          <w:b/>
          <w:bCs/>
          <w:sz w:val="22"/>
          <w:szCs w:val="22"/>
          <w:lang w:val="en-GB"/>
        </w:rPr>
        <w:t>“INTERCONTINENTAL ATHÉNÉE PALACE BUCHAREST” Hotel</w:t>
      </w:r>
      <w:r w:rsidRPr="008A457C" w:rsidR="00961819">
        <w:rPr>
          <w:rFonts w:cs="Arial"/>
          <w:sz w:val="22"/>
          <w:szCs w:val="22"/>
          <w:lang w:val="en-GB"/>
        </w:rPr>
        <w:t xml:space="preserve">, </w:t>
      </w:r>
      <w:r w:rsidRPr="008A457C" w:rsidR="00961819">
        <w:rPr>
          <w:sz w:val="22"/>
          <w:szCs w:val="22"/>
          <w:lang w:val="en-GB"/>
        </w:rPr>
        <w:t xml:space="preserve">Vivaldi </w:t>
      </w:r>
      <w:r w:rsidRPr="008A457C" w:rsidR="00961819">
        <w:rPr>
          <w:rFonts w:cs="Arial"/>
          <w:sz w:val="22"/>
          <w:szCs w:val="22"/>
          <w:lang w:val="en-GB"/>
        </w:rPr>
        <w:t xml:space="preserve">Conference Room, 1-3 </w:t>
      </w:r>
      <w:proofErr w:type="spellStart"/>
      <w:r w:rsidRPr="008A457C" w:rsidR="00961819">
        <w:rPr>
          <w:rFonts w:cs="Arial"/>
          <w:sz w:val="22"/>
          <w:szCs w:val="22"/>
          <w:lang w:val="en-GB"/>
        </w:rPr>
        <w:t>Episcopiei</w:t>
      </w:r>
      <w:proofErr w:type="spellEnd"/>
      <w:r w:rsidRPr="008A457C" w:rsidR="00961819">
        <w:rPr>
          <w:rFonts w:cs="Arial"/>
          <w:sz w:val="22"/>
          <w:szCs w:val="22"/>
          <w:lang w:val="en-GB"/>
        </w:rPr>
        <w:t xml:space="preserve"> Street, 1</w:t>
      </w:r>
      <w:r w:rsidRPr="008A457C" w:rsidR="00961819">
        <w:rPr>
          <w:rFonts w:cs="Arial"/>
          <w:sz w:val="22"/>
          <w:szCs w:val="22"/>
          <w:vertAlign w:val="superscript"/>
          <w:lang w:val="en-GB"/>
        </w:rPr>
        <w:t>st</w:t>
      </w:r>
      <w:r w:rsidRPr="008A457C" w:rsidR="00961819">
        <w:rPr>
          <w:rFonts w:cs="Arial"/>
          <w:sz w:val="22"/>
          <w:szCs w:val="22"/>
          <w:lang w:val="en-GB"/>
        </w:rPr>
        <w:t xml:space="preserve"> District, Bucharest, 010292, Romania</w:t>
      </w:r>
      <w:r w:rsidRPr="00D77B01" w:rsidR="00AB01FD">
        <w:rPr>
          <w:rFonts w:cs="Arial"/>
          <w:sz w:val="22"/>
          <w:szCs w:val="22"/>
        </w:rPr>
        <w:t xml:space="preserve">, </w:t>
      </w:r>
      <w:r w:rsidRPr="00751DCC" w:rsidR="00AB01FD">
        <w:rPr>
          <w:rFonts w:cs="Arial"/>
          <w:sz w:val="22"/>
          <w:szCs w:val="22"/>
        </w:rPr>
        <w:t xml:space="preserve">in case the </w:t>
      </w:r>
      <w:r w:rsidR="00AB01FD">
        <w:rPr>
          <w:rFonts w:cs="Arial"/>
          <w:sz w:val="22"/>
          <w:szCs w:val="22"/>
        </w:rPr>
        <w:t>OGMS</w:t>
      </w:r>
      <w:r w:rsidRPr="00751DCC" w:rsidR="00AB01FD">
        <w:rPr>
          <w:rFonts w:cs="Arial"/>
          <w:sz w:val="22"/>
          <w:szCs w:val="22"/>
        </w:rPr>
        <w:t xml:space="preserve"> cannot be validly held at the first </w:t>
      </w:r>
      <w:r w:rsidR="00AB01FD">
        <w:rPr>
          <w:rFonts w:cs="Arial"/>
          <w:sz w:val="22"/>
          <w:szCs w:val="22"/>
        </w:rPr>
        <w:t>convening</w:t>
      </w:r>
      <w:r w:rsidRPr="00237192">
        <w:rPr>
          <w:sz w:val="22"/>
          <w:szCs w:val="22"/>
          <w:lang w:val="en-GB"/>
        </w:rPr>
        <w:t xml:space="preserve">, </w:t>
      </w:r>
      <w:r w:rsidRPr="00237192">
        <w:rPr>
          <w:sz w:val="22"/>
          <w:szCs w:val="22"/>
          <w:lang w:val="en-GB" w:eastAsia="ro-RO"/>
        </w:rPr>
        <w:t xml:space="preserve">to exercise the voting rights pertaining to our holdings registered in the shareholders’ registry as at the </w:t>
      </w:r>
      <w:r w:rsidRPr="00237192" w:rsidR="00237192">
        <w:rPr>
          <w:sz w:val="22"/>
          <w:szCs w:val="22"/>
          <w:lang w:val="en-GB" w:eastAsia="ro-RO"/>
        </w:rPr>
        <w:t>OGMS</w:t>
      </w:r>
      <w:r w:rsidRPr="00237192" w:rsidR="00257B4E">
        <w:rPr>
          <w:sz w:val="22"/>
          <w:szCs w:val="22"/>
          <w:lang w:val="en-GB" w:eastAsia="ro-RO"/>
        </w:rPr>
        <w:t xml:space="preserve"> </w:t>
      </w:r>
      <w:r w:rsidRPr="00237192">
        <w:rPr>
          <w:sz w:val="22"/>
          <w:szCs w:val="22"/>
          <w:lang w:val="en-GB" w:eastAsia="ro-RO"/>
        </w:rPr>
        <w:t>reference date, as follows</w:t>
      </w:r>
      <w:r w:rsidRPr="00237192">
        <w:rPr>
          <w:sz w:val="22"/>
          <w:szCs w:val="22"/>
          <w:lang w:val="en-GB"/>
        </w:rPr>
        <w:t>:</w:t>
      </w:r>
    </w:p>
    <w:p w:rsidR="00466B03" w:rsidP="006143F5" w:rsidRDefault="00466B03" w14:paraId="7491E174" w14:textId="27100266">
      <w:pPr>
        <w:tabs>
          <w:tab w:val="num" w:pos="360"/>
        </w:tabs>
        <w:autoSpaceDE w:val="0"/>
        <w:autoSpaceDN w:val="0"/>
        <w:adjustRightInd w:val="0"/>
        <w:jc w:val="both"/>
        <w:rPr>
          <w:sz w:val="22"/>
          <w:szCs w:val="22"/>
          <w:lang w:val="en-GB"/>
        </w:rPr>
      </w:pPr>
    </w:p>
    <w:p w:rsidRPr="00BA45AB" w:rsidR="00961819" w:rsidP="00961819" w:rsidRDefault="00961819" w14:paraId="6E6725B6" w14:textId="77777777">
      <w:pPr>
        <w:pStyle w:val="ListParagraph"/>
        <w:numPr>
          <w:ilvl w:val="0"/>
          <w:numId w:val="2"/>
        </w:numPr>
        <w:ind w:left="450" w:hanging="450"/>
        <w:contextualSpacing w:val="0"/>
        <w:jc w:val="both"/>
        <w:rPr>
          <w:b/>
          <w:bCs/>
          <w:sz w:val="22"/>
          <w:szCs w:val="22"/>
          <w:lang w:val="en-GB"/>
        </w:rPr>
      </w:pPr>
      <w:r w:rsidRPr="00427188">
        <w:rPr>
          <w:b/>
          <w:bCs/>
          <w:sz w:val="22"/>
          <w:szCs w:val="22"/>
          <w:lang w:val="en-GB"/>
        </w:rPr>
        <w:t>For item 1 on the agenda, respectively</w:t>
      </w:r>
      <w:r w:rsidRPr="00427188">
        <w:rPr>
          <w:b/>
          <w:bCs/>
          <w:sz w:val="22"/>
          <w:szCs w:val="22"/>
        </w:rPr>
        <w:t>:</w:t>
      </w:r>
    </w:p>
    <w:p w:rsidR="00961819" w:rsidP="00961819" w:rsidRDefault="00961819" w14:paraId="061EB779" w14:textId="77777777">
      <w:pPr>
        <w:pStyle w:val="ListParagraph"/>
        <w:ind w:left="450"/>
        <w:contextualSpacing w:val="0"/>
        <w:jc w:val="both"/>
        <w:rPr>
          <w:b/>
          <w:bCs/>
          <w:sz w:val="22"/>
          <w:szCs w:val="22"/>
          <w:lang w:val="en-GB"/>
        </w:rPr>
      </w:pPr>
    </w:p>
    <w:p w:rsidRPr="00E82F52" w:rsidR="00961819" w:rsidP="00961819" w:rsidRDefault="00961819" w14:paraId="63715646" w14:textId="77777777">
      <w:pPr>
        <w:pStyle w:val="ListParagraph"/>
        <w:ind w:left="450"/>
        <w:jc w:val="both"/>
        <w:rPr>
          <w:i/>
          <w:iCs/>
          <w:sz w:val="22"/>
          <w:szCs w:val="22"/>
          <w:lang w:val="en-GB"/>
        </w:rPr>
      </w:pPr>
      <w:r w:rsidRPr="00E82F52">
        <w:rPr>
          <w:i/>
          <w:iCs/>
          <w:sz w:val="22"/>
          <w:szCs w:val="22"/>
          <w:lang w:val="en-GB"/>
        </w:rPr>
        <w:t xml:space="preserve">“The appointment, for a period of 3 (three) years, of 1 (one) member of the Board of Nominees (who will also be a member of the Audit and Valuation Committee) of Fondul </w:t>
      </w:r>
      <w:proofErr w:type="spellStart"/>
      <w:r w:rsidRPr="00E82F52">
        <w:rPr>
          <w:i/>
          <w:iCs/>
          <w:sz w:val="22"/>
          <w:szCs w:val="22"/>
          <w:lang w:val="en-GB"/>
        </w:rPr>
        <w:t>Proprietatea</w:t>
      </w:r>
      <w:proofErr w:type="spellEnd"/>
      <w:r w:rsidRPr="00E82F52">
        <w:rPr>
          <w:i/>
          <w:iCs/>
          <w:sz w:val="22"/>
          <w:szCs w:val="22"/>
          <w:lang w:val="en-GB"/>
        </w:rPr>
        <w:t>, who meets the requirements set out in Law no. 162/2017 on the statutory audit of annual financial statements and consolidated annual financial statements and amending certain legislative acts, as subsequently amended and supplemented (“</w:t>
      </w:r>
      <w:r w:rsidRPr="00E82F52">
        <w:rPr>
          <w:b/>
          <w:bCs/>
          <w:i/>
          <w:iCs/>
          <w:sz w:val="22"/>
          <w:szCs w:val="22"/>
          <w:lang w:val="en-GB"/>
        </w:rPr>
        <w:t>Law no. 162/2017</w:t>
      </w:r>
      <w:r w:rsidRPr="00E82F52">
        <w:rPr>
          <w:i/>
          <w:iCs/>
          <w:sz w:val="22"/>
          <w:szCs w:val="22"/>
          <w:lang w:val="en-GB"/>
        </w:rPr>
        <w:t>”), in accordance with the informative materials. For further details, please refer also to the section GENERAL INFORMATION WITH RESPECT TO THE EGM &amp; OGM of this Convening Notice.</w:t>
      </w:r>
    </w:p>
    <w:p w:rsidRPr="00E82F52" w:rsidR="00961819" w:rsidP="00961819" w:rsidRDefault="00961819" w14:paraId="0E07B9E9" w14:textId="77777777">
      <w:pPr>
        <w:pStyle w:val="ListParagraph"/>
        <w:ind w:left="450"/>
        <w:jc w:val="both"/>
        <w:rPr>
          <w:i/>
          <w:iCs/>
          <w:sz w:val="22"/>
          <w:szCs w:val="22"/>
          <w:lang w:val="en-GB"/>
        </w:rPr>
      </w:pPr>
    </w:p>
    <w:p w:rsidRPr="00E82F52" w:rsidR="00961819" w:rsidP="00961819" w:rsidRDefault="00961819" w14:paraId="5973EA7F" w14:textId="77777777">
      <w:pPr>
        <w:pStyle w:val="ListParagraph"/>
        <w:ind w:left="450"/>
        <w:jc w:val="both"/>
        <w:rPr>
          <w:i/>
          <w:iCs/>
          <w:sz w:val="22"/>
          <w:szCs w:val="22"/>
          <w:lang w:val="en-GB"/>
        </w:rPr>
      </w:pPr>
      <w:r w:rsidRPr="00E82F52">
        <w:rPr>
          <w:i/>
          <w:iCs/>
          <w:sz w:val="22"/>
          <w:szCs w:val="22"/>
          <w:lang w:val="en-GB"/>
        </w:rPr>
        <w:t>The mandate of the new member of the Board of Nominees shall start on the date the respective candidate appointed by the OGM accepts such an appointment.</w:t>
      </w:r>
    </w:p>
    <w:p w:rsidRPr="00E82F52" w:rsidR="00961819" w:rsidP="00961819" w:rsidRDefault="00961819" w14:paraId="4EF7F595" w14:textId="77777777">
      <w:pPr>
        <w:pStyle w:val="ListParagraph"/>
        <w:ind w:left="450"/>
        <w:jc w:val="both"/>
        <w:rPr>
          <w:i/>
          <w:iCs/>
          <w:sz w:val="22"/>
          <w:szCs w:val="22"/>
          <w:lang w:val="en-GB"/>
        </w:rPr>
      </w:pPr>
    </w:p>
    <w:p w:rsidRPr="00E82F52" w:rsidR="00961819" w:rsidP="00961819" w:rsidRDefault="00961819" w14:paraId="1995411A" w14:textId="77777777">
      <w:pPr>
        <w:pStyle w:val="ListParagraph"/>
        <w:ind w:left="450"/>
        <w:jc w:val="both"/>
        <w:rPr>
          <w:i/>
          <w:iCs/>
          <w:sz w:val="22"/>
          <w:szCs w:val="22"/>
          <w:lang w:val="en-GB"/>
        </w:rPr>
      </w:pPr>
      <w:r w:rsidRPr="00E82F52">
        <w:rPr>
          <w:i/>
          <w:iCs/>
          <w:sz w:val="22"/>
          <w:szCs w:val="22"/>
          <w:lang w:val="en-GB"/>
        </w:rPr>
        <w:t>(secret vote)”</w:t>
      </w:r>
    </w:p>
    <w:p w:rsidR="00961819" w:rsidP="00961819" w:rsidRDefault="00961819" w14:paraId="0DEF5279" w14:textId="77777777">
      <w:pPr>
        <w:pStyle w:val="ListParagraph"/>
        <w:ind w:left="450"/>
        <w:contextualSpacing w:val="0"/>
        <w:jc w:val="both"/>
        <w:rPr>
          <w:sz w:val="22"/>
          <w:szCs w:val="22"/>
          <w:lang w:val="en-GB"/>
        </w:rPr>
      </w:pPr>
    </w:p>
    <w:p w:rsidR="00961819" w:rsidP="00961819" w:rsidRDefault="00961819" w14:paraId="313B9F22" w14:textId="77777777">
      <w:pPr>
        <w:pStyle w:val="ListParagraph"/>
        <w:ind w:left="450"/>
        <w:contextualSpacing w:val="0"/>
        <w:jc w:val="both"/>
        <w:rPr>
          <w:i/>
          <w:iCs/>
          <w:sz w:val="22"/>
          <w:szCs w:val="22"/>
          <w:lang w:val="en-GB"/>
        </w:rPr>
      </w:pPr>
    </w:p>
    <w:tbl>
      <w:tblPr>
        <w:tblW w:w="8550" w:type="dxa"/>
        <w:tblInd w:w="445" w:type="dxa"/>
        <w:tblLayout w:type="fixed"/>
        <w:tblLook w:val="04A0" w:firstRow="1" w:lastRow="0" w:firstColumn="1" w:lastColumn="0" w:noHBand="0" w:noVBand="1"/>
      </w:tblPr>
      <w:tblGrid>
        <w:gridCol w:w="2155"/>
        <w:gridCol w:w="2155"/>
        <w:gridCol w:w="2155"/>
        <w:gridCol w:w="2085"/>
      </w:tblGrid>
      <w:tr w:rsidRPr="008713B0" w:rsidR="00961819" w:rsidTr="00030775" w14:paraId="257D0738" w14:textId="77777777">
        <w:trPr>
          <w:trHeight w:val="298"/>
        </w:trPr>
        <w:tc>
          <w:tcPr>
            <w:tcW w:w="2155" w:type="dxa"/>
            <w:tcBorders>
              <w:top w:val="single" w:color="auto" w:sz="4" w:space="0"/>
              <w:left w:val="single" w:color="auto" w:sz="4" w:space="0"/>
              <w:bottom w:val="single" w:color="auto" w:sz="4" w:space="0"/>
              <w:right w:val="single" w:color="auto" w:sz="4" w:space="0"/>
            </w:tcBorders>
            <w:vAlign w:val="center"/>
          </w:tcPr>
          <w:p w:rsidRPr="008C10B6" w:rsidR="00961819" w:rsidP="00030775" w:rsidRDefault="00961819" w14:paraId="5754B783" w14:textId="77777777">
            <w:pPr>
              <w:jc w:val="both"/>
              <w:rPr>
                <w:b/>
                <w:bCs/>
                <w:color w:val="000000"/>
                <w:sz w:val="22"/>
                <w:szCs w:val="22"/>
                <w:lang w:val="en-GB"/>
              </w:rPr>
            </w:pPr>
            <w:r w:rsidRPr="008C10B6">
              <w:rPr>
                <w:b/>
                <w:bCs/>
                <w:color w:val="000000"/>
                <w:sz w:val="22"/>
                <w:szCs w:val="22"/>
                <w:lang w:val="en-GB"/>
              </w:rPr>
              <w:t>CANDIDATES</w:t>
            </w:r>
          </w:p>
        </w:tc>
        <w:tc>
          <w:tcPr>
            <w:tcW w:w="2155" w:type="dxa"/>
            <w:tcBorders>
              <w:top w:val="single" w:color="auto" w:sz="4" w:space="0"/>
              <w:left w:val="single" w:color="auto" w:sz="4" w:space="0"/>
              <w:bottom w:val="single" w:color="auto" w:sz="4" w:space="0"/>
              <w:right w:val="single" w:color="auto" w:sz="4" w:space="0"/>
            </w:tcBorders>
            <w:noWrap/>
            <w:vAlign w:val="center"/>
            <w:hideMark/>
          </w:tcPr>
          <w:p w:rsidRPr="008C10B6" w:rsidR="00961819" w:rsidP="00030775" w:rsidRDefault="00961819" w14:paraId="68110676" w14:textId="77777777">
            <w:pPr>
              <w:jc w:val="both"/>
              <w:rPr>
                <w:b/>
                <w:bCs/>
                <w:color w:val="000000"/>
                <w:sz w:val="22"/>
                <w:szCs w:val="22"/>
                <w:lang w:val="en-GB"/>
              </w:rPr>
            </w:pPr>
            <w:r w:rsidRPr="008C10B6">
              <w:rPr>
                <w:b/>
                <w:bCs/>
                <w:color w:val="000000"/>
                <w:sz w:val="22"/>
                <w:szCs w:val="22"/>
                <w:lang w:val="en-GB"/>
              </w:rPr>
              <w:t> FOR</w:t>
            </w:r>
          </w:p>
        </w:tc>
        <w:tc>
          <w:tcPr>
            <w:tcW w:w="2155" w:type="dxa"/>
            <w:tcBorders>
              <w:top w:val="single" w:color="auto" w:sz="4" w:space="0"/>
              <w:left w:val="nil"/>
              <w:bottom w:val="single" w:color="auto" w:sz="4" w:space="0"/>
              <w:right w:val="single" w:color="auto" w:sz="4" w:space="0"/>
            </w:tcBorders>
            <w:noWrap/>
            <w:vAlign w:val="center"/>
            <w:hideMark/>
          </w:tcPr>
          <w:p w:rsidRPr="008C10B6" w:rsidR="00961819" w:rsidP="00030775" w:rsidRDefault="00961819" w14:paraId="7031CFF4" w14:textId="77777777">
            <w:pPr>
              <w:jc w:val="both"/>
              <w:rPr>
                <w:b/>
                <w:bCs/>
                <w:color w:val="000000"/>
                <w:sz w:val="22"/>
                <w:szCs w:val="22"/>
                <w:lang w:val="en-GB"/>
              </w:rPr>
            </w:pPr>
            <w:r w:rsidRPr="008C10B6">
              <w:rPr>
                <w:b/>
                <w:bCs/>
                <w:color w:val="000000"/>
                <w:sz w:val="22"/>
                <w:szCs w:val="22"/>
                <w:lang w:val="en-GB"/>
              </w:rPr>
              <w:t>AGAINST</w:t>
            </w:r>
          </w:p>
        </w:tc>
        <w:tc>
          <w:tcPr>
            <w:tcW w:w="2085" w:type="dxa"/>
            <w:tcBorders>
              <w:top w:val="single" w:color="auto" w:sz="4" w:space="0"/>
              <w:left w:val="nil"/>
              <w:bottom w:val="single" w:color="auto" w:sz="4" w:space="0"/>
              <w:right w:val="single" w:color="auto" w:sz="4" w:space="0"/>
            </w:tcBorders>
            <w:noWrap/>
            <w:vAlign w:val="center"/>
            <w:hideMark/>
          </w:tcPr>
          <w:p w:rsidRPr="008C10B6" w:rsidR="00961819" w:rsidP="00030775" w:rsidRDefault="00961819" w14:paraId="4203C3D8" w14:textId="77777777">
            <w:pPr>
              <w:jc w:val="both"/>
              <w:rPr>
                <w:b/>
                <w:bCs/>
                <w:color w:val="000000"/>
                <w:sz w:val="22"/>
                <w:szCs w:val="22"/>
                <w:lang w:val="en-GB"/>
              </w:rPr>
            </w:pPr>
            <w:r w:rsidRPr="008C10B6">
              <w:rPr>
                <w:b/>
                <w:bCs/>
                <w:color w:val="000000"/>
                <w:sz w:val="22"/>
                <w:szCs w:val="22"/>
                <w:lang w:val="en-GB"/>
              </w:rPr>
              <w:t> ABSTENTION</w:t>
            </w:r>
          </w:p>
        </w:tc>
      </w:tr>
      <w:tr w:rsidRPr="008713B0" w:rsidR="00961819" w:rsidTr="00030775" w14:paraId="54EEEB3F" w14:textId="77777777">
        <w:trPr>
          <w:trHeight w:val="298"/>
        </w:trPr>
        <w:tc>
          <w:tcPr>
            <w:tcW w:w="2155" w:type="dxa"/>
            <w:tcBorders>
              <w:top w:val="single" w:color="auto" w:sz="4" w:space="0"/>
              <w:left w:val="single" w:color="auto" w:sz="4" w:space="0"/>
              <w:bottom w:val="single" w:color="auto" w:sz="4" w:space="0"/>
              <w:right w:val="single" w:color="auto" w:sz="4" w:space="0"/>
            </w:tcBorders>
          </w:tcPr>
          <w:p w:rsidRPr="00067A05" w:rsidR="00961819" w:rsidP="00030775" w:rsidRDefault="00961819" w14:paraId="488AA957" w14:textId="77777777">
            <w:pPr>
              <w:jc w:val="center"/>
              <w:rPr>
                <w:color w:val="000000"/>
                <w:sz w:val="22"/>
                <w:szCs w:val="22"/>
              </w:rPr>
            </w:pPr>
            <w:r>
              <w:rPr>
                <w:color w:val="000000"/>
                <w:sz w:val="22"/>
                <w:szCs w:val="22"/>
                <w:lang w:val="en-GB"/>
              </w:rPr>
              <w:t xml:space="preserve">1. </w:t>
            </w:r>
            <w:r>
              <w:rPr>
                <w:color w:val="000000"/>
                <w:sz w:val="22"/>
                <w:szCs w:val="22"/>
              </w:rPr>
              <w:t>[…]</w:t>
            </w:r>
          </w:p>
        </w:tc>
        <w:tc>
          <w:tcPr>
            <w:tcW w:w="2155" w:type="dxa"/>
            <w:tcBorders>
              <w:top w:val="single" w:color="auto" w:sz="4" w:space="0"/>
              <w:left w:val="single" w:color="auto" w:sz="4" w:space="0"/>
              <w:bottom w:val="single" w:color="auto" w:sz="4" w:space="0"/>
              <w:right w:val="single" w:color="auto" w:sz="4" w:space="0"/>
            </w:tcBorders>
            <w:noWrap/>
            <w:vAlign w:val="bottom"/>
            <w:hideMark/>
          </w:tcPr>
          <w:p w:rsidRPr="008713B0" w:rsidR="00961819" w:rsidP="00030775" w:rsidRDefault="00961819" w14:paraId="0A8F38B7" w14:textId="77777777">
            <w:pPr>
              <w:jc w:val="both"/>
              <w:rPr>
                <w:color w:val="000000"/>
                <w:sz w:val="22"/>
                <w:szCs w:val="22"/>
                <w:lang w:val="en-GB"/>
              </w:rPr>
            </w:pPr>
          </w:p>
        </w:tc>
        <w:tc>
          <w:tcPr>
            <w:tcW w:w="2155" w:type="dxa"/>
            <w:tcBorders>
              <w:top w:val="single" w:color="auto" w:sz="4" w:space="0"/>
              <w:left w:val="nil"/>
              <w:bottom w:val="single" w:color="auto" w:sz="4" w:space="0"/>
              <w:right w:val="single" w:color="auto" w:sz="4" w:space="0"/>
            </w:tcBorders>
            <w:noWrap/>
            <w:vAlign w:val="bottom"/>
            <w:hideMark/>
          </w:tcPr>
          <w:p w:rsidRPr="008713B0" w:rsidR="00961819" w:rsidP="00030775" w:rsidRDefault="00961819" w14:paraId="337F6A3F" w14:textId="77777777">
            <w:pPr>
              <w:jc w:val="both"/>
              <w:rPr>
                <w:color w:val="000000"/>
                <w:sz w:val="22"/>
                <w:szCs w:val="22"/>
                <w:lang w:val="en-GB"/>
              </w:rPr>
            </w:pPr>
          </w:p>
        </w:tc>
        <w:tc>
          <w:tcPr>
            <w:tcW w:w="2085" w:type="dxa"/>
            <w:tcBorders>
              <w:top w:val="single" w:color="auto" w:sz="4" w:space="0"/>
              <w:left w:val="nil"/>
              <w:bottom w:val="single" w:color="auto" w:sz="4" w:space="0"/>
              <w:right w:val="single" w:color="auto" w:sz="4" w:space="0"/>
            </w:tcBorders>
            <w:noWrap/>
            <w:vAlign w:val="bottom"/>
            <w:hideMark/>
          </w:tcPr>
          <w:p w:rsidRPr="008713B0" w:rsidR="00961819" w:rsidP="00030775" w:rsidRDefault="00961819" w14:paraId="3A1BBB58" w14:textId="77777777">
            <w:pPr>
              <w:ind w:right="-18"/>
              <w:jc w:val="both"/>
              <w:rPr>
                <w:color w:val="000000"/>
                <w:sz w:val="22"/>
                <w:szCs w:val="22"/>
                <w:lang w:val="en-GB"/>
              </w:rPr>
            </w:pPr>
          </w:p>
        </w:tc>
      </w:tr>
      <w:tr w:rsidRPr="008713B0" w:rsidR="00961819" w:rsidTr="00030775" w14:paraId="78B50293" w14:textId="77777777">
        <w:trPr>
          <w:trHeight w:val="298"/>
        </w:trPr>
        <w:tc>
          <w:tcPr>
            <w:tcW w:w="2155" w:type="dxa"/>
            <w:tcBorders>
              <w:top w:val="single" w:color="auto" w:sz="4" w:space="0"/>
              <w:left w:val="single" w:color="auto" w:sz="4" w:space="0"/>
              <w:bottom w:val="single" w:color="auto" w:sz="4" w:space="0"/>
              <w:right w:val="single" w:color="auto" w:sz="4" w:space="0"/>
            </w:tcBorders>
          </w:tcPr>
          <w:p w:rsidRPr="008713B0" w:rsidR="00961819" w:rsidP="00030775" w:rsidRDefault="00961819" w14:paraId="6CC3A647" w14:textId="77777777">
            <w:pPr>
              <w:jc w:val="center"/>
              <w:rPr>
                <w:color w:val="000000"/>
                <w:sz w:val="22"/>
                <w:szCs w:val="22"/>
                <w:lang w:val="en-GB"/>
              </w:rPr>
            </w:pPr>
            <w:r>
              <w:rPr>
                <w:color w:val="000000"/>
                <w:sz w:val="22"/>
                <w:szCs w:val="22"/>
                <w:lang w:val="en-GB"/>
              </w:rPr>
              <w:t>2. […]</w:t>
            </w:r>
          </w:p>
        </w:tc>
        <w:tc>
          <w:tcPr>
            <w:tcW w:w="2155" w:type="dxa"/>
            <w:tcBorders>
              <w:top w:val="single" w:color="auto" w:sz="4" w:space="0"/>
              <w:left w:val="single" w:color="auto" w:sz="4" w:space="0"/>
              <w:bottom w:val="single" w:color="auto" w:sz="4" w:space="0"/>
              <w:right w:val="single" w:color="auto" w:sz="4" w:space="0"/>
            </w:tcBorders>
            <w:noWrap/>
            <w:vAlign w:val="bottom"/>
          </w:tcPr>
          <w:p w:rsidRPr="008713B0" w:rsidR="00961819" w:rsidP="00030775" w:rsidRDefault="00961819" w14:paraId="28CEDC31" w14:textId="77777777">
            <w:pPr>
              <w:jc w:val="both"/>
              <w:rPr>
                <w:color w:val="000000"/>
                <w:sz w:val="22"/>
                <w:szCs w:val="22"/>
                <w:lang w:val="en-GB"/>
              </w:rPr>
            </w:pPr>
          </w:p>
        </w:tc>
        <w:tc>
          <w:tcPr>
            <w:tcW w:w="2155" w:type="dxa"/>
            <w:tcBorders>
              <w:top w:val="single" w:color="auto" w:sz="4" w:space="0"/>
              <w:left w:val="nil"/>
              <w:bottom w:val="single" w:color="auto" w:sz="4" w:space="0"/>
              <w:right w:val="single" w:color="auto" w:sz="4" w:space="0"/>
            </w:tcBorders>
            <w:noWrap/>
            <w:vAlign w:val="bottom"/>
          </w:tcPr>
          <w:p w:rsidRPr="008713B0" w:rsidR="00961819" w:rsidP="00030775" w:rsidRDefault="00961819" w14:paraId="22E21AF2" w14:textId="77777777">
            <w:pPr>
              <w:jc w:val="both"/>
              <w:rPr>
                <w:color w:val="000000"/>
                <w:sz w:val="22"/>
                <w:szCs w:val="22"/>
                <w:lang w:val="en-GB"/>
              </w:rPr>
            </w:pPr>
          </w:p>
        </w:tc>
        <w:tc>
          <w:tcPr>
            <w:tcW w:w="2085" w:type="dxa"/>
            <w:tcBorders>
              <w:top w:val="single" w:color="auto" w:sz="4" w:space="0"/>
              <w:left w:val="nil"/>
              <w:bottom w:val="single" w:color="auto" w:sz="4" w:space="0"/>
              <w:right w:val="single" w:color="auto" w:sz="4" w:space="0"/>
            </w:tcBorders>
            <w:noWrap/>
            <w:vAlign w:val="bottom"/>
          </w:tcPr>
          <w:p w:rsidRPr="008713B0" w:rsidR="00961819" w:rsidP="00030775" w:rsidRDefault="00961819" w14:paraId="573072E8" w14:textId="77777777">
            <w:pPr>
              <w:ind w:right="-18"/>
              <w:jc w:val="both"/>
              <w:rPr>
                <w:color w:val="000000"/>
                <w:sz w:val="22"/>
                <w:szCs w:val="22"/>
                <w:lang w:val="en-GB"/>
              </w:rPr>
            </w:pPr>
          </w:p>
        </w:tc>
      </w:tr>
      <w:tr w:rsidRPr="008713B0" w:rsidR="00961819" w:rsidTr="00030775" w14:paraId="056DE6A2" w14:textId="77777777">
        <w:trPr>
          <w:trHeight w:val="298"/>
        </w:trPr>
        <w:tc>
          <w:tcPr>
            <w:tcW w:w="2155" w:type="dxa"/>
            <w:tcBorders>
              <w:top w:val="single" w:color="auto" w:sz="4" w:space="0"/>
              <w:left w:val="single" w:color="auto" w:sz="4" w:space="0"/>
              <w:bottom w:val="single" w:color="auto" w:sz="4" w:space="0"/>
              <w:right w:val="single" w:color="auto" w:sz="4" w:space="0"/>
            </w:tcBorders>
          </w:tcPr>
          <w:p w:rsidRPr="008713B0" w:rsidR="00961819" w:rsidP="00030775" w:rsidRDefault="00961819" w14:paraId="5330A881" w14:textId="77777777">
            <w:pPr>
              <w:jc w:val="center"/>
              <w:rPr>
                <w:color w:val="000000"/>
                <w:sz w:val="22"/>
                <w:szCs w:val="22"/>
                <w:lang w:val="en-GB"/>
              </w:rPr>
            </w:pPr>
            <w:r>
              <w:rPr>
                <w:color w:val="000000"/>
                <w:sz w:val="22"/>
                <w:szCs w:val="22"/>
                <w:lang w:val="en-GB"/>
              </w:rPr>
              <w:t>3. […]</w:t>
            </w:r>
          </w:p>
        </w:tc>
        <w:tc>
          <w:tcPr>
            <w:tcW w:w="2155" w:type="dxa"/>
            <w:tcBorders>
              <w:top w:val="single" w:color="auto" w:sz="4" w:space="0"/>
              <w:left w:val="single" w:color="auto" w:sz="4" w:space="0"/>
              <w:bottom w:val="single" w:color="auto" w:sz="4" w:space="0"/>
              <w:right w:val="single" w:color="auto" w:sz="4" w:space="0"/>
            </w:tcBorders>
            <w:noWrap/>
            <w:vAlign w:val="bottom"/>
          </w:tcPr>
          <w:p w:rsidRPr="008713B0" w:rsidR="00961819" w:rsidP="00030775" w:rsidRDefault="00961819" w14:paraId="0CBD344F" w14:textId="77777777">
            <w:pPr>
              <w:jc w:val="both"/>
              <w:rPr>
                <w:color w:val="000000"/>
                <w:sz w:val="22"/>
                <w:szCs w:val="22"/>
                <w:lang w:val="en-GB"/>
              </w:rPr>
            </w:pPr>
          </w:p>
        </w:tc>
        <w:tc>
          <w:tcPr>
            <w:tcW w:w="2155" w:type="dxa"/>
            <w:tcBorders>
              <w:top w:val="single" w:color="auto" w:sz="4" w:space="0"/>
              <w:left w:val="nil"/>
              <w:bottom w:val="single" w:color="auto" w:sz="4" w:space="0"/>
              <w:right w:val="single" w:color="auto" w:sz="4" w:space="0"/>
            </w:tcBorders>
            <w:noWrap/>
            <w:vAlign w:val="bottom"/>
          </w:tcPr>
          <w:p w:rsidRPr="008713B0" w:rsidR="00961819" w:rsidP="00030775" w:rsidRDefault="00961819" w14:paraId="518C6D33" w14:textId="77777777">
            <w:pPr>
              <w:jc w:val="both"/>
              <w:rPr>
                <w:color w:val="000000"/>
                <w:sz w:val="22"/>
                <w:szCs w:val="22"/>
                <w:lang w:val="en-GB"/>
              </w:rPr>
            </w:pPr>
          </w:p>
        </w:tc>
        <w:tc>
          <w:tcPr>
            <w:tcW w:w="2085" w:type="dxa"/>
            <w:tcBorders>
              <w:top w:val="single" w:color="auto" w:sz="4" w:space="0"/>
              <w:left w:val="nil"/>
              <w:bottom w:val="single" w:color="auto" w:sz="4" w:space="0"/>
              <w:right w:val="single" w:color="auto" w:sz="4" w:space="0"/>
            </w:tcBorders>
            <w:noWrap/>
            <w:vAlign w:val="bottom"/>
          </w:tcPr>
          <w:p w:rsidRPr="008713B0" w:rsidR="00961819" w:rsidP="00030775" w:rsidRDefault="00961819" w14:paraId="134627B4" w14:textId="77777777">
            <w:pPr>
              <w:ind w:right="-18"/>
              <w:jc w:val="both"/>
              <w:rPr>
                <w:color w:val="000000"/>
                <w:sz w:val="22"/>
                <w:szCs w:val="22"/>
                <w:lang w:val="en-GB"/>
              </w:rPr>
            </w:pPr>
          </w:p>
        </w:tc>
      </w:tr>
    </w:tbl>
    <w:p w:rsidR="00961819" w:rsidP="00961819" w:rsidRDefault="00961819" w14:paraId="643577D7" w14:textId="77777777">
      <w:pPr>
        <w:ind w:left="450"/>
        <w:jc w:val="both"/>
        <w:rPr>
          <w:i/>
          <w:sz w:val="22"/>
          <w:szCs w:val="22"/>
          <w:lang w:val="en-GB" w:eastAsia="ro-RO"/>
        </w:rPr>
      </w:pPr>
    </w:p>
    <w:p w:rsidR="00961819" w:rsidP="00961819" w:rsidRDefault="00961819" w14:paraId="72436CA3" w14:textId="77777777">
      <w:pPr>
        <w:pStyle w:val="ListParagraph"/>
        <w:ind w:left="450"/>
        <w:contextualSpacing w:val="0"/>
        <w:jc w:val="both"/>
        <w:rPr>
          <w:sz w:val="22"/>
          <w:szCs w:val="22"/>
          <w:lang w:val="en-GB" w:eastAsia="ro-RO"/>
        </w:rPr>
      </w:pPr>
      <w:r w:rsidRPr="00B96B03">
        <w:rPr>
          <w:i/>
          <w:sz w:val="22"/>
          <w:szCs w:val="22"/>
          <w:lang w:val="en-GB" w:eastAsia="ro-RO"/>
        </w:rPr>
        <w:t>Note: Please vote „FOR” for one (1) candidate only</w:t>
      </w:r>
      <w:r w:rsidRPr="00B96B03">
        <w:rPr>
          <w:i/>
          <w:sz w:val="22"/>
          <w:szCs w:val="22"/>
          <w:lang w:eastAsia="ro-RO"/>
        </w:rPr>
        <w:t xml:space="preserve">. </w:t>
      </w:r>
      <w:r w:rsidRPr="00B96B03">
        <w:rPr>
          <w:i/>
          <w:sz w:val="22"/>
          <w:szCs w:val="22"/>
          <w:lang w:val="en-GB" w:eastAsia="ro-RO"/>
        </w:rPr>
        <w:t>Voting „FOR” for more than one (1) candidate will lead to the annulment of the ballot paper. Express your vote by placing an „X” in one of the columns for each option: „FOR”, „AGAINST” or „ABSTENTION”. Placing an „X” in more than one column or not placing an „X” in any of the columns shall mean that the vote will not be taken into consideration</w:t>
      </w:r>
      <w:r w:rsidRPr="00B96B03">
        <w:rPr>
          <w:sz w:val="22"/>
          <w:szCs w:val="22"/>
          <w:lang w:val="en-GB" w:eastAsia="ro-RO"/>
        </w:rPr>
        <w:t>.</w:t>
      </w:r>
    </w:p>
    <w:p w:rsidR="00961819" w:rsidP="00961819" w:rsidRDefault="00961819" w14:paraId="1FAB9AE2" w14:textId="77777777">
      <w:pPr>
        <w:pStyle w:val="ListParagraph"/>
        <w:ind w:left="450"/>
        <w:contextualSpacing w:val="0"/>
        <w:jc w:val="both"/>
        <w:rPr>
          <w:sz w:val="22"/>
          <w:szCs w:val="22"/>
          <w:lang w:val="en-GB" w:eastAsia="ro-RO"/>
        </w:rPr>
      </w:pPr>
    </w:p>
    <w:p w:rsidRPr="001A426B" w:rsidR="00961819" w:rsidP="00961819" w:rsidRDefault="00961819" w14:paraId="156198B6" w14:textId="77777777">
      <w:pPr>
        <w:pStyle w:val="ListParagraph"/>
        <w:ind w:left="450"/>
        <w:jc w:val="both"/>
        <w:rPr>
          <w:b/>
          <w:bCs/>
          <w:sz w:val="22"/>
          <w:szCs w:val="22"/>
        </w:rPr>
      </w:pPr>
      <w:r w:rsidRPr="001A426B">
        <w:rPr>
          <w:b/>
          <w:bCs/>
          <w:sz w:val="22"/>
          <w:szCs w:val="22"/>
        </w:rPr>
        <w:t>Note: The Sole Director will not submit to vote any candidacy that does meet the conditions under Law no. 162/2017.</w:t>
      </w:r>
    </w:p>
    <w:p w:rsidRPr="001A426B" w:rsidR="00961819" w:rsidP="00961819" w:rsidRDefault="00961819" w14:paraId="5C2C31F7" w14:textId="77777777">
      <w:pPr>
        <w:pStyle w:val="ListParagraph"/>
        <w:ind w:left="450"/>
        <w:jc w:val="both"/>
        <w:rPr>
          <w:sz w:val="22"/>
          <w:szCs w:val="22"/>
        </w:rPr>
      </w:pPr>
    </w:p>
    <w:p w:rsidRPr="001A426B" w:rsidR="00961819" w:rsidP="2AC47FA8" w:rsidRDefault="00961819" w14:paraId="2685C53F" w14:textId="5480BB50">
      <w:pPr>
        <w:pStyle w:val="ListParagraph"/>
        <w:spacing/>
        <w:ind w:left="450"/>
        <w:jc w:val="both"/>
        <w:rPr>
          <w:b w:val="1"/>
          <w:bCs w:val="1"/>
          <w:sz w:val="22"/>
          <w:szCs w:val="22"/>
        </w:rPr>
      </w:pPr>
      <w:r w:rsidRPr="2AC47FA8" w:rsidR="00961819">
        <w:rPr>
          <w:b w:val="1"/>
          <w:bCs w:val="1"/>
          <w:sz w:val="22"/>
          <w:szCs w:val="22"/>
        </w:rPr>
        <w:t>Note: The candidates for the vacant position in the Board of Nominees corresponding to item 1 on the agenda of th</w:t>
      </w:r>
      <w:r w:rsidRPr="2AC47FA8" w:rsidR="60C46210">
        <w:rPr>
          <w:b w:val="1"/>
          <w:bCs w:val="1"/>
          <w:sz w:val="22"/>
          <w:szCs w:val="22"/>
        </w:rPr>
        <w:t>e</w:t>
      </w:r>
      <w:r w:rsidRPr="2AC47FA8" w:rsidR="00961819">
        <w:rPr>
          <w:b w:val="1"/>
          <w:bCs w:val="1"/>
          <w:sz w:val="22"/>
          <w:szCs w:val="22"/>
        </w:rPr>
        <w:t xml:space="preserve"> OGM, following the verification and validation of the supporting documentation by the Sole Director, shall be submitted to vote on the same list, and the candidate who obtains 50% + 1 of the votes cast by all shareholders present or represented at this OGM (the legal majority required for the adoption of a decision) shall be elected as member of the Board of Nominees and shall also become a member of the Audit and Valuation Committee.</w:t>
      </w:r>
    </w:p>
    <w:p w:rsidRPr="001A426B" w:rsidR="00961819" w:rsidP="00961819" w:rsidRDefault="00961819" w14:paraId="74ECC6AB" w14:textId="77777777">
      <w:pPr>
        <w:pStyle w:val="ListParagraph"/>
        <w:ind w:left="450"/>
        <w:contextualSpacing w:val="0"/>
        <w:jc w:val="both"/>
        <w:rPr>
          <w:b/>
          <w:bCs/>
          <w:sz w:val="22"/>
          <w:szCs w:val="22"/>
        </w:rPr>
      </w:pPr>
    </w:p>
    <w:p w:rsidRPr="001A426B" w:rsidR="00961819" w:rsidP="00961819" w:rsidRDefault="00961819" w14:paraId="3A8E8495" w14:textId="77777777">
      <w:pPr>
        <w:pStyle w:val="ListParagraph"/>
        <w:ind w:left="450"/>
        <w:jc w:val="both"/>
        <w:rPr>
          <w:b/>
          <w:bCs/>
          <w:sz w:val="22"/>
          <w:szCs w:val="22"/>
        </w:rPr>
      </w:pPr>
      <w:r w:rsidRPr="001A426B">
        <w:rPr>
          <w:b/>
          <w:bCs/>
          <w:sz w:val="22"/>
          <w:szCs w:val="22"/>
        </w:rPr>
        <w:t>Note:</w:t>
      </w:r>
      <w:r w:rsidRPr="001A426B">
        <w:rPr>
          <w:b/>
          <w:bCs/>
        </w:rPr>
        <w:t xml:space="preserve"> </w:t>
      </w:r>
      <w:r w:rsidRPr="001A426B">
        <w:rPr>
          <w:b/>
          <w:bCs/>
          <w:sz w:val="22"/>
          <w:szCs w:val="22"/>
        </w:rPr>
        <w:t xml:space="preserve">Considering the availability of vacant positions with different requirements for membership in the Board of Nominees, each candidate shall apply for only one vacancy, in accordance with item 1 </w:t>
      </w:r>
      <w:r w:rsidRPr="001A426B">
        <w:rPr>
          <w:b/>
          <w:bCs/>
          <w:i/>
          <w:iCs/>
          <w:sz w:val="22"/>
          <w:szCs w:val="22"/>
        </w:rPr>
        <w:t>or</w:t>
      </w:r>
      <w:r w:rsidRPr="001A426B">
        <w:rPr>
          <w:b/>
          <w:bCs/>
          <w:sz w:val="22"/>
          <w:szCs w:val="22"/>
        </w:rPr>
        <w:t xml:space="preserve"> item 2 on the agenda of this OGM.</w:t>
      </w:r>
    </w:p>
    <w:p w:rsidRPr="001A426B" w:rsidR="00961819" w:rsidP="00961819" w:rsidRDefault="00961819" w14:paraId="088128B7" w14:textId="77777777">
      <w:pPr>
        <w:pStyle w:val="ListParagraph"/>
        <w:ind w:left="450"/>
        <w:jc w:val="both"/>
        <w:rPr>
          <w:b/>
          <w:bCs/>
          <w:sz w:val="22"/>
          <w:szCs w:val="22"/>
        </w:rPr>
      </w:pPr>
    </w:p>
    <w:p w:rsidRPr="001A426B" w:rsidR="00961819" w:rsidP="00961819" w:rsidRDefault="00961819" w14:paraId="5E03AD20" w14:textId="77777777">
      <w:pPr>
        <w:pStyle w:val="ListParagraph"/>
        <w:ind w:left="450"/>
        <w:contextualSpacing w:val="0"/>
        <w:jc w:val="both"/>
        <w:rPr>
          <w:b/>
          <w:bCs/>
          <w:sz w:val="22"/>
          <w:szCs w:val="22"/>
        </w:rPr>
      </w:pPr>
      <w:r w:rsidRPr="001A426B">
        <w:rPr>
          <w:b/>
          <w:bCs/>
          <w:sz w:val="22"/>
          <w:szCs w:val="22"/>
        </w:rPr>
        <w:lastRenderedPageBreak/>
        <w:t>If a candidate applies for all vacant positions as provided under items 1 and 2 on the agenda of this OGM, the candidacy shall be considered as submitted: (</w:t>
      </w:r>
      <w:proofErr w:type="spellStart"/>
      <w:r w:rsidRPr="001A426B">
        <w:rPr>
          <w:b/>
          <w:bCs/>
          <w:sz w:val="22"/>
          <w:szCs w:val="22"/>
        </w:rPr>
        <w:t>i</w:t>
      </w:r>
      <w:proofErr w:type="spellEnd"/>
      <w:r w:rsidRPr="001A426B">
        <w:rPr>
          <w:b/>
          <w:bCs/>
          <w:sz w:val="22"/>
          <w:szCs w:val="22"/>
        </w:rPr>
        <w:t>) for the vacant position under item 1, provided that the respective candidate meets the requirements set out under Law no. 162/2017; or (ii) for the vacant position under item 2, if the candidate does not meet the requirements set out in Law no. 162/2017. The candidate shall have the right to change their option until the expiry of the deadline for submitting candidacies, namely until 27 October 2025, at 5:00 PM (Romanian time).</w:t>
      </w:r>
    </w:p>
    <w:p w:rsidR="00961819" w:rsidP="00961819" w:rsidRDefault="00961819" w14:paraId="4E158AC0" w14:textId="77777777">
      <w:pPr>
        <w:jc w:val="both"/>
        <w:rPr>
          <w:sz w:val="22"/>
          <w:szCs w:val="22"/>
          <w:lang w:val="en-GB"/>
        </w:rPr>
      </w:pPr>
    </w:p>
    <w:p w:rsidR="00961819" w:rsidP="00961819" w:rsidRDefault="00961819" w14:paraId="2B78D7B2" w14:textId="77777777">
      <w:pPr>
        <w:pStyle w:val="ListParagraph"/>
        <w:numPr>
          <w:ilvl w:val="0"/>
          <w:numId w:val="2"/>
        </w:numPr>
        <w:ind w:left="450"/>
        <w:contextualSpacing w:val="0"/>
        <w:jc w:val="both"/>
        <w:rPr>
          <w:b/>
          <w:bCs/>
          <w:sz w:val="22"/>
          <w:szCs w:val="22"/>
          <w:lang w:val="en-GB"/>
        </w:rPr>
      </w:pPr>
      <w:r w:rsidRPr="00216524">
        <w:rPr>
          <w:b/>
          <w:bCs/>
          <w:sz w:val="22"/>
          <w:szCs w:val="22"/>
          <w:lang w:val="en-GB"/>
        </w:rPr>
        <w:t xml:space="preserve">For item </w:t>
      </w:r>
      <w:r>
        <w:rPr>
          <w:b/>
          <w:bCs/>
          <w:sz w:val="22"/>
          <w:szCs w:val="22"/>
          <w:lang w:val="en-GB"/>
        </w:rPr>
        <w:t>2</w:t>
      </w:r>
      <w:r w:rsidRPr="00216524">
        <w:rPr>
          <w:b/>
          <w:bCs/>
          <w:sz w:val="22"/>
          <w:szCs w:val="22"/>
          <w:lang w:val="en-GB"/>
        </w:rPr>
        <w:t xml:space="preserve"> on the agenda, respectively:</w:t>
      </w:r>
    </w:p>
    <w:p w:rsidR="00961819" w:rsidP="00961819" w:rsidRDefault="00961819" w14:paraId="55F78960" w14:textId="77777777">
      <w:pPr>
        <w:pStyle w:val="ListParagraph"/>
        <w:ind w:left="450"/>
        <w:contextualSpacing w:val="0"/>
        <w:jc w:val="both"/>
        <w:rPr>
          <w:b/>
          <w:bCs/>
          <w:sz w:val="22"/>
          <w:szCs w:val="22"/>
          <w:lang w:val="en-GB"/>
        </w:rPr>
      </w:pPr>
    </w:p>
    <w:p w:rsidRPr="009A2180" w:rsidR="00961819" w:rsidP="00961819" w:rsidRDefault="00961819" w14:paraId="145E0D2E" w14:textId="77777777">
      <w:pPr>
        <w:pStyle w:val="ListParagraph"/>
        <w:ind w:left="450"/>
        <w:jc w:val="both"/>
        <w:rPr>
          <w:i/>
          <w:iCs/>
          <w:sz w:val="22"/>
          <w:szCs w:val="22"/>
          <w:lang w:val="en-GB"/>
        </w:rPr>
      </w:pPr>
      <w:r w:rsidRPr="009A2180">
        <w:rPr>
          <w:i/>
          <w:iCs/>
          <w:sz w:val="22"/>
          <w:szCs w:val="22"/>
          <w:lang w:val="en-GB"/>
        </w:rPr>
        <w:t xml:space="preserve">“The appointment, for a period of 3 (three) years, of 3 (three) members of the Board of Nominees of Fondul </w:t>
      </w:r>
      <w:proofErr w:type="spellStart"/>
      <w:r w:rsidRPr="009A2180">
        <w:rPr>
          <w:i/>
          <w:iCs/>
          <w:sz w:val="22"/>
          <w:szCs w:val="22"/>
          <w:lang w:val="en-GB"/>
        </w:rPr>
        <w:t>Proprietatea</w:t>
      </w:r>
      <w:proofErr w:type="spellEnd"/>
      <w:r w:rsidRPr="009A2180">
        <w:rPr>
          <w:i/>
          <w:iCs/>
          <w:sz w:val="22"/>
          <w:szCs w:val="22"/>
          <w:lang w:val="en-GB"/>
        </w:rPr>
        <w:t xml:space="preserve">, in accordance with the informative materials. For further details, please also refer to the section GENERAL INFORMATION WITH RESPECT TO THE EGM &amp; OGM of this Convening Notice. </w:t>
      </w:r>
    </w:p>
    <w:p w:rsidRPr="009A2180" w:rsidR="00961819" w:rsidP="00961819" w:rsidRDefault="00961819" w14:paraId="772C675D" w14:textId="77777777">
      <w:pPr>
        <w:pStyle w:val="ListParagraph"/>
        <w:ind w:left="450"/>
        <w:jc w:val="both"/>
        <w:rPr>
          <w:i/>
          <w:iCs/>
          <w:sz w:val="22"/>
          <w:szCs w:val="22"/>
          <w:lang w:val="en-GB"/>
        </w:rPr>
      </w:pPr>
    </w:p>
    <w:p w:rsidRPr="009A2180" w:rsidR="00961819" w:rsidP="00961819" w:rsidRDefault="00961819" w14:paraId="7D8649D3" w14:textId="77777777">
      <w:pPr>
        <w:pStyle w:val="ListParagraph"/>
        <w:ind w:left="450"/>
        <w:jc w:val="both"/>
        <w:rPr>
          <w:i/>
          <w:iCs/>
          <w:sz w:val="22"/>
          <w:szCs w:val="22"/>
          <w:lang w:val="en-GB"/>
        </w:rPr>
      </w:pPr>
      <w:r w:rsidRPr="009A2180">
        <w:rPr>
          <w:i/>
          <w:iCs/>
          <w:sz w:val="22"/>
          <w:szCs w:val="22"/>
          <w:lang w:val="en-GB"/>
        </w:rPr>
        <w:t>The mandate of each newly appointed member of the Board of Nominees shall start on the date the respective candidate appointed by the OGM accepts such an appointment.</w:t>
      </w:r>
    </w:p>
    <w:p w:rsidRPr="009A2180" w:rsidR="00961819" w:rsidP="00961819" w:rsidRDefault="00961819" w14:paraId="23CB2B59" w14:textId="77777777">
      <w:pPr>
        <w:pStyle w:val="ListParagraph"/>
        <w:ind w:left="450"/>
        <w:jc w:val="both"/>
        <w:rPr>
          <w:i/>
          <w:iCs/>
          <w:sz w:val="22"/>
          <w:szCs w:val="22"/>
          <w:lang w:val="en-GB"/>
        </w:rPr>
      </w:pPr>
    </w:p>
    <w:p w:rsidRPr="009A2180" w:rsidR="00961819" w:rsidP="00961819" w:rsidRDefault="00961819" w14:paraId="444ACD5F" w14:textId="77777777">
      <w:pPr>
        <w:pStyle w:val="ListParagraph"/>
        <w:ind w:left="450"/>
        <w:contextualSpacing w:val="0"/>
        <w:jc w:val="both"/>
        <w:rPr>
          <w:i/>
          <w:iCs/>
          <w:sz w:val="22"/>
          <w:szCs w:val="22"/>
          <w:lang w:val="en-GB"/>
        </w:rPr>
      </w:pPr>
      <w:r w:rsidRPr="009A2180">
        <w:rPr>
          <w:i/>
          <w:iCs/>
          <w:sz w:val="22"/>
          <w:szCs w:val="22"/>
          <w:lang w:val="en-GB"/>
        </w:rPr>
        <w:t>(secret vote)”</w:t>
      </w:r>
    </w:p>
    <w:p w:rsidR="00961819" w:rsidP="00961819" w:rsidRDefault="00961819" w14:paraId="04B59FC4" w14:textId="77777777">
      <w:pPr>
        <w:pStyle w:val="ListParagraph"/>
        <w:ind w:left="450"/>
        <w:contextualSpacing w:val="0"/>
        <w:jc w:val="both"/>
        <w:rPr>
          <w:sz w:val="22"/>
          <w:szCs w:val="22"/>
          <w:lang w:val="en-GB"/>
        </w:rPr>
      </w:pPr>
    </w:p>
    <w:p w:rsidR="00961819" w:rsidP="00961819" w:rsidRDefault="00961819" w14:paraId="1F9A2298" w14:textId="77777777">
      <w:pPr>
        <w:pStyle w:val="ListParagraph"/>
        <w:ind w:left="450"/>
        <w:contextualSpacing w:val="0"/>
        <w:jc w:val="both"/>
        <w:rPr>
          <w:i/>
          <w:iCs/>
          <w:sz w:val="22"/>
          <w:szCs w:val="22"/>
          <w:lang w:val="en-GB"/>
        </w:rPr>
      </w:pPr>
    </w:p>
    <w:tbl>
      <w:tblPr>
        <w:tblW w:w="8550" w:type="dxa"/>
        <w:tblInd w:w="445" w:type="dxa"/>
        <w:tblLayout w:type="fixed"/>
        <w:tblLook w:val="04A0" w:firstRow="1" w:lastRow="0" w:firstColumn="1" w:lastColumn="0" w:noHBand="0" w:noVBand="1"/>
      </w:tblPr>
      <w:tblGrid>
        <w:gridCol w:w="2155"/>
        <w:gridCol w:w="2155"/>
        <w:gridCol w:w="2155"/>
        <w:gridCol w:w="2085"/>
      </w:tblGrid>
      <w:tr w:rsidRPr="008713B0" w:rsidR="00961819" w:rsidTr="00030775" w14:paraId="6E0777BA" w14:textId="77777777">
        <w:trPr>
          <w:trHeight w:val="298"/>
        </w:trPr>
        <w:tc>
          <w:tcPr>
            <w:tcW w:w="2155" w:type="dxa"/>
            <w:tcBorders>
              <w:top w:val="single" w:color="auto" w:sz="4" w:space="0"/>
              <w:left w:val="single" w:color="auto" w:sz="4" w:space="0"/>
              <w:bottom w:val="single" w:color="auto" w:sz="4" w:space="0"/>
              <w:right w:val="single" w:color="auto" w:sz="4" w:space="0"/>
            </w:tcBorders>
            <w:vAlign w:val="center"/>
          </w:tcPr>
          <w:p w:rsidRPr="008C10B6" w:rsidR="00961819" w:rsidP="00030775" w:rsidRDefault="00961819" w14:paraId="772DF4C3" w14:textId="77777777">
            <w:pPr>
              <w:jc w:val="both"/>
              <w:rPr>
                <w:b/>
                <w:bCs/>
                <w:color w:val="000000"/>
                <w:sz w:val="22"/>
                <w:szCs w:val="22"/>
                <w:lang w:val="en-GB"/>
              </w:rPr>
            </w:pPr>
            <w:r w:rsidRPr="008C10B6">
              <w:rPr>
                <w:b/>
                <w:bCs/>
                <w:color w:val="000000"/>
                <w:sz w:val="22"/>
                <w:szCs w:val="22"/>
                <w:lang w:val="en-GB"/>
              </w:rPr>
              <w:t>CANDIDATES</w:t>
            </w:r>
          </w:p>
        </w:tc>
        <w:tc>
          <w:tcPr>
            <w:tcW w:w="2155" w:type="dxa"/>
            <w:tcBorders>
              <w:top w:val="single" w:color="auto" w:sz="4" w:space="0"/>
              <w:left w:val="single" w:color="auto" w:sz="4" w:space="0"/>
              <w:bottom w:val="single" w:color="auto" w:sz="4" w:space="0"/>
              <w:right w:val="single" w:color="auto" w:sz="4" w:space="0"/>
            </w:tcBorders>
            <w:noWrap/>
            <w:vAlign w:val="center"/>
            <w:hideMark/>
          </w:tcPr>
          <w:p w:rsidRPr="008C10B6" w:rsidR="00961819" w:rsidP="00030775" w:rsidRDefault="00961819" w14:paraId="3913CAFC" w14:textId="77777777">
            <w:pPr>
              <w:jc w:val="both"/>
              <w:rPr>
                <w:b/>
                <w:bCs/>
                <w:color w:val="000000"/>
                <w:sz w:val="22"/>
                <w:szCs w:val="22"/>
                <w:lang w:val="en-GB"/>
              </w:rPr>
            </w:pPr>
            <w:r w:rsidRPr="008C10B6">
              <w:rPr>
                <w:b/>
                <w:bCs/>
                <w:color w:val="000000"/>
                <w:sz w:val="22"/>
                <w:szCs w:val="22"/>
                <w:lang w:val="en-GB"/>
              </w:rPr>
              <w:t> FOR</w:t>
            </w:r>
          </w:p>
        </w:tc>
        <w:tc>
          <w:tcPr>
            <w:tcW w:w="2155" w:type="dxa"/>
            <w:tcBorders>
              <w:top w:val="single" w:color="auto" w:sz="4" w:space="0"/>
              <w:left w:val="nil"/>
              <w:bottom w:val="single" w:color="auto" w:sz="4" w:space="0"/>
              <w:right w:val="single" w:color="auto" w:sz="4" w:space="0"/>
            </w:tcBorders>
            <w:noWrap/>
            <w:vAlign w:val="center"/>
            <w:hideMark/>
          </w:tcPr>
          <w:p w:rsidRPr="008C10B6" w:rsidR="00961819" w:rsidP="00030775" w:rsidRDefault="00961819" w14:paraId="475EFFFC" w14:textId="77777777">
            <w:pPr>
              <w:jc w:val="both"/>
              <w:rPr>
                <w:b/>
                <w:bCs/>
                <w:color w:val="000000"/>
                <w:sz w:val="22"/>
                <w:szCs w:val="22"/>
                <w:lang w:val="en-GB"/>
              </w:rPr>
            </w:pPr>
            <w:r w:rsidRPr="008C10B6">
              <w:rPr>
                <w:b/>
                <w:bCs/>
                <w:color w:val="000000"/>
                <w:sz w:val="22"/>
                <w:szCs w:val="22"/>
                <w:lang w:val="en-GB"/>
              </w:rPr>
              <w:t>AGAINST</w:t>
            </w:r>
          </w:p>
        </w:tc>
        <w:tc>
          <w:tcPr>
            <w:tcW w:w="2085" w:type="dxa"/>
            <w:tcBorders>
              <w:top w:val="single" w:color="auto" w:sz="4" w:space="0"/>
              <w:left w:val="nil"/>
              <w:bottom w:val="single" w:color="auto" w:sz="4" w:space="0"/>
              <w:right w:val="single" w:color="auto" w:sz="4" w:space="0"/>
            </w:tcBorders>
            <w:noWrap/>
            <w:vAlign w:val="center"/>
            <w:hideMark/>
          </w:tcPr>
          <w:p w:rsidRPr="008C10B6" w:rsidR="00961819" w:rsidP="00030775" w:rsidRDefault="00961819" w14:paraId="228F499B" w14:textId="77777777">
            <w:pPr>
              <w:jc w:val="both"/>
              <w:rPr>
                <w:b/>
                <w:bCs/>
                <w:color w:val="000000"/>
                <w:sz w:val="22"/>
                <w:szCs w:val="22"/>
                <w:lang w:val="en-GB"/>
              </w:rPr>
            </w:pPr>
            <w:r w:rsidRPr="008C10B6">
              <w:rPr>
                <w:b/>
                <w:bCs/>
                <w:color w:val="000000"/>
                <w:sz w:val="22"/>
                <w:szCs w:val="22"/>
                <w:lang w:val="en-GB"/>
              </w:rPr>
              <w:t> ABSTENTION</w:t>
            </w:r>
          </w:p>
        </w:tc>
      </w:tr>
      <w:tr w:rsidRPr="008713B0" w:rsidR="00961819" w:rsidTr="00030775" w14:paraId="6A8814E9" w14:textId="77777777">
        <w:trPr>
          <w:trHeight w:val="298"/>
        </w:trPr>
        <w:tc>
          <w:tcPr>
            <w:tcW w:w="2155" w:type="dxa"/>
            <w:tcBorders>
              <w:top w:val="single" w:color="auto" w:sz="4" w:space="0"/>
              <w:left w:val="single" w:color="auto" w:sz="4" w:space="0"/>
              <w:bottom w:val="single" w:color="auto" w:sz="4" w:space="0"/>
              <w:right w:val="single" w:color="auto" w:sz="4" w:space="0"/>
            </w:tcBorders>
          </w:tcPr>
          <w:p w:rsidRPr="00067A05" w:rsidR="00961819" w:rsidP="00030775" w:rsidRDefault="00961819" w14:paraId="2F891228" w14:textId="77777777">
            <w:pPr>
              <w:jc w:val="center"/>
              <w:rPr>
                <w:color w:val="000000"/>
                <w:sz w:val="22"/>
                <w:szCs w:val="22"/>
              </w:rPr>
            </w:pPr>
            <w:r>
              <w:rPr>
                <w:color w:val="000000"/>
                <w:sz w:val="22"/>
                <w:szCs w:val="22"/>
                <w:lang w:val="en-GB"/>
              </w:rPr>
              <w:t xml:space="preserve">1. </w:t>
            </w:r>
            <w:r>
              <w:rPr>
                <w:color w:val="000000"/>
                <w:sz w:val="22"/>
                <w:szCs w:val="22"/>
              </w:rPr>
              <w:t>[…]</w:t>
            </w:r>
          </w:p>
        </w:tc>
        <w:tc>
          <w:tcPr>
            <w:tcW w:w="2155" w:type="dxa"/>
            <w:tcBorders>
              <w:top w:val="single" w:color="auto" w:sz="4" w:space="0"/>
              <w:left w:val="single" w:color="auto" w:sz="4" w:space="0"/>
              <w:bottom w:val="single" w:color="auto" w:sz="4" w:space="0"/>
              <w:right w:val="single" w:color="auto" w:sz="4" w:space="0"/>
            </w:tcBorders>
            <w:noWrap/>
            <w:vAlign w:val="bottom"/>
            <w:hideMark/>
          </w:tcPr>
          <w:p w:rsidRPr="008713B0" w:rsidR="00961819" w:rsidP="00030775" w:rsidRDefault="00961819" w14:paraId="388A5E7A" w14:textId="77777777">
            <w:pPr>
              <w:jc w:val="both"/>
              <w:rPr>
                <w:color w:val="000000"/>
                <w:sz w:val="22"/>
                <w:szCs w:val="22"/>
                <w:lang w:val="en-GB"/>
              </w:rPr>
            </w:pPr>
          </w:p>
        </w:tc>
        <w:tc>
          <w:tcPr>
            <w:tcW w:w="2155" w:type="dxa"/>
            <w:tcBorders>
              <w:top w:val="single" w:color="auto" w:sz="4" w:space="0"/>
              <w:left w:val="nil"/>
              <w:bottom w:val="single" w:color="auto" w:sz="4" w:space="0"/>
              <w:right w:val="single" w:color="auto" w:sz="4" w:space="0"/>
            </w:tcBorders>
            <w:noWrap/>
            <w:vAlign w:val="bottom"/>
            <w:hideMark/>
          </w:tcPr>
          <w:p w:rsidRPr="008713B0" w:rsidR="00961819" w:rsidP="00030775" w:rsidRDefault="00961819" w14:paraId="2F572EE9" w14:textId="77777777">
            <w:pPr>
              <w:jc w:val="both"/>
              <w:rPr>
                <w:color w:val="000000"/>
                <w:sz w:val="22"/>
                <w:szCs w:val="22"/>
                <w:lang w:val="en-GB"/>
              </w:rPr>
            </w:pPr>
          </w:p>
        </w:tc>
        <w:tc>
          <w:tcPr>
            <w:tcW w:w="2085" w:type="dxa"/>
            <w:tcBorders>
              <w:top w:val="single" w:color="auto" w:sz="4" w:space="0"/>
              <w:left w:val="nil"/>
              <w:bottom w:val="single" w:color="auto" w:sz="4" w:space="0"/>
              <w:right w:val="single" w:color="auto" w:sz="4" w:space="0"/>
            </w:tcBorders>
            <w:noWrap/>
            <w:vAlign w:val="bottom"/>
            <w:hideMark/>
          </w:tcPr>
          <w:p w:rsidRPr="008713B0" w:rsidR="00961819" w:rsidP="00030775" w:rsidRDefault="00961819" w14:paraId="3EAF6A26" w14:textId="77777777">
            <w:pPr>
              <w:ind w:right="-18"/>
              <w:jc w:val="both"/>
              <w:rPr>
                <w:color w:val="000000"/>
                <w:sz w:val="22"/>
                <w:szCs w:val="22"/>
                <w:lang w:val="en-GB"/>
              </w:rPr>
            </w:pPr>
          </w:p>
        </w:tc>
      </w:tr>
      <w:tr w:rsidRPr="008713B0" w:rsidR="00961819" w:rsidTr="00030775" w14:paraId="02F458E0" w14:textId="77777777">
        <w:trPr>
          <w:trHeight w:val="298"/>
        </w:trPr>
        <w:tc>
          <w:tcPr>
            <w:tcW w:w="2155" w:type="dxa"/>
            <w:tcBorders>
              <w:top w:val="single" w:color="auto" w:sz="4" w:space="0"/>
              <w:left w:val="single" w:color="auto" w:sz="4" w:space="0"/>
              <w:bottom w:val="single" w:color="auto" w:sz="4" w:space="0"/>
              <w:right w:val="single" w:color="auto" w:sz="4" w:space="0"/>
            </w:tcBorders>
          </w:tcPr>
          <w:p w:rsidRPr="008713B0" w:rsidR="00961819" w:rsidP="00030775" w:rsidRDefault="00961819" w14:paraId="01971813" w14:textId="77777777">
            <w:pPr>
              <w:jc w:val="center"/>
              <w:rPr>
                <w:color w:val="000000"/>
                <w:sz w:val="22"/>
                <w:szCs w:val="22"/>
                <w:lang w:val="en-GB"/>
              </w:rPr>
            </w:pPr>
            <w:r>
              <w:rPr>
                <w:color w:val="000000"/>
                <w:sz w:val="22"/>
                <w:szCs w:val="22"/>
                <w:lang w:val="en-GB"/>
              </w:rPr>
              <w:t>2. […]</w:t>
            </w:r>
          </w:p>
        </w:tc>
        <w:tc>
          <w:tcPr>
            <w:tcW w:w="2155" w:type="dxa"/>
            <w:tcBorders>
              <w:top w:val="single" w:color="auto" w:sz="4" w:space="0"/>
              <w:left w:val="single" w:color="auto" w:sz="4" w:space="0"/>
              <w:bottom w:val="single" w:color="auto" w:sz="4" w:space="0"/>
              <w:right w:val="single" w:color="auto" w:sz="4" w:space="0"/>
            </w:tcBorders>
            <w:noWrap/>
            <w:vAlign w:val="bottom"/>
          </w:tcPr>
          <w:p w:rsidRPr="008713B0" w:rsidR="00961819" w:rsidP="00030775" w:rsidRDefault="00961819" w14:paraId="1C8333D2" w14:textId="77777777">
            <w:pPr>
              <w:jc w:val="both"/>
              <w:rPr>
                <w:color w:val="000000"/>
                <w:sz w:val="22"/>
                <w:szCs w:val="22"/>
                <w:lang w:val="en-GB"/>
              </w:rPr>
            </w:pPr>
          </w:p>
        </w:tc>
        <w:tc>
          <w:tcPr>
            <w:tcW w:w="2155" w:type="dxa"/>
            <w:tcBorders>
              <w:top w:val="single" w:color="auto" w:sz="4" w:space="0"/>
              <w:left w:val="nil"/>
              <w:bottom w:val="single" w:color="auto" w:sz="4" w:space="0"/>
              <w:right w:val="single" w:color="auto" w:sz="4" w:space="0"/>
            </w:tcBorders>
            <w:noWrap/>
            <w:vAlign w:val="bottom"/>
          </w:tcPr>
          <w:p w:rsidRPr="008713B0" w:rsidR="00961819" w:rsidP="00030775" w:rsidRDefault="00961819" w14:paraId="7067CB7D" w14:textId="77777777">
            <w:pPr>
              <w:jc w:val="both"/>
              <w:rPr>
                <w:color w:val="000000"/>
                <w:sz w:val="22"/>
                <w:szCs w:val="22"/>
                <w:lang w:val="en-GB"/>
              </w:rPr>
            </w:pPr>
          </w:p>
        </w:tc>
        <w:tc>
          <w:tcPr>
            <w:tcW w:w="2085" w:type="dxa"/>
            <w:tcBorders>
              <w:top w:val="single" w:color="auto" w:sz="4" w:space="0"/>
              <w:left w:val="nil"/>
              <w:bottom w:val="single" w:color="auto" w:sz="4" w:space="0"/>
              <w:right w:val="single" w:color="auto" w:sz="4" w:space="0"/>
            </w:tcBorders>
            <w:noWrap/>
            <w:vAlign w:val="bottom"/>
          </w:tcPr>
          <w:p w:rsidRPr="008713B0" w:rsidR="00961819" w:rsidP="00030775" w:rsidRDefault="00961819" w14:paraId="58F67BB3" w14:textId="77777777">
            <w:pPr>
              <w:ind w:right="-18"/>
              <w:jc w:val="both"/>
              <w:rPr>
                <w:color w:val="000000"/>
                <w:sz w:val="22"/>
                <w:szCs w:val="22"/>
                <w:lang w:val="en-GB"/>
              </w:rPr>
            </w:pPr>
          </w:p>
        </w:tc>
      </w:tr>
      <w:tr w:rsidRPr="008713B0" w:rsidR="00961819" w:rsidTr="00030775" w14:paraId="4A6691B4" w14:textId="77777777">
        <w:trPr>
          <w:trHeight w:val="298"/>
        </w:trPr>
        <w:tc>
          <w:tcPr>
            <w:tcW w:w="2155" w:type="dxa"/>
            <w:tcBorders>
              <w:top w:val="single" w:color="auto" w:sz="4" w:space="0"/>
              <w:left w:val="single" w:color="auto" w:sz="4" w:space="0"/>
              <w:bottom w:val="single" w:color="auto" w:sz="4" w:space="0"/>
              <w:right w:val="single" w:color="auto" w:sz="4" w:space="0"/>
            </w:tcBorders>
          </w:tcPr>
          <w:p w:rsidRPr="008713B0" w:rsidR="00961819" w:rsidP="00030775" w:rsidRDefault="00961819" w14:paraId="73022A7E" w14:textId="77777777">
            <w:pPr>
              <w:jc w:val="center"/>
              <w:rPr>
                <w:color w:val="000000"/>
                <w:sz w:val="22"/>
                <w:szCs w:val="22"/>
                <w:lang w:val="en-GB"/>
              </w:rPr>
            </w:pPr>
            <w:r>
              <w:rPr>
                <w:color w:val="000000"/>
                <w:sz w:val="22"/>
                <w:szCs w:val="22"/>
                <w:lang w:val="en-GB"/>
              </w:rPr>
              <w:t>3. […]</w:t>
            </w:r>
          </w:p>
        </w:tc>
        <w:tc>
          <w:tcPr>
            <w:tcW w:w="2155" w:type="dxa"/>
            <w:tcBorders>
              <w:top w:val="single" w:color="auto" w:sz="4" w:space="0"/>
              <w:left w:val="single" w:color="auto" w:sz="4" w:space="0"/>
              <w:bottom w:val="single" w:color="auto" w:sz="4" w:space="0"/>
              <w:right w:val="single" w:color="auto" w:sz="4" w:space="0"/>
            </w:tcBorders>
            <w:noWrap/>
            <w:vAlign w:val="bottom"/>
          </w:tcPr>
          <w:p w:rsidRPr="008713B0" w:rsidR="00961819" w:rsidP="00030775" w:rsidRDefault="00961819" w14:paraId="3525088E" w14:textId="77777777">
            <w:pPr>
              <w:jc w:val="both"/>
              <w:rPr>
                <w:color w:val="000000"/>
                <w:sz w:val="22"/>
                <w:szCs w:val="22"/>
                <w:lang w:val="en-GB"/>
              </w:rPr>
            </w:pPr>
          </w:p>
        </w:tc>
        <w:tc>
          <w:tcPr>
            <w:tcW w:w="2155" w:type="dxa"/>
            <w:tcBorders>
              <w:top w:val="single" w:color="auto" w:sz="4" w:space="0"/>
              <w:left w:val="nil"/>
              <w:bottom w:val="single" w:color="auto" w:sz="4" w:space="0"/>
              <w:right w:val="single" w:color="auto" w:sz="4" w:space="0"/>
            </w:tcBorders>
            <w:noWrap/>
            <w:vAlign w:val="bottom"/>
          </w:tcPr>
          <w:p w:rsidRPr="008713B0" w:rsidR="00961819" w:rsidP="00030775" w:rsidRDefault="00961819" w14:paraId="68C605D4" w14:textId="77777777">
            <w:pPr>
              <w:jc w:val="both"/>
              <w:rPr>
                <w:color w:val="000000"/>
                <w:sz w:val="22"/>
                <w:szCs w:val="22"/>
                <w:lang w:val="en-GB"/>
              </w:rPr>
            </w:pPr>
          </w:p>
        </w:tc>
        <w:tc>
          <w:tcPr>
            <w:tcW w:w="2085" w:type="dxa"/>
            <w:tcBorders>
              <w:top w:val="single" w:color="auto" w:sz="4" w:space="0"/>
              <w:left w:val="nil"/>
              <w:bottom w:val="single" w:color="auto" w:sz="4" w:space="0"/>
              <w:right w:val="single" w:color="auto" w:sz="4" w:space="0"/>
            </w:tcBorders>
            <w:noWrap/>
            <w:vAlign w:val="bottom"/>
          </w:tcPr>
          <w:p w:rsidRPr="008713B0" w:rsidR="00961819" w:rsidP="00030775" w:rsidRDefault="00961819" w14:paraId="0FDA727B" w14:textId="77777777">
            <w:pPr>
              <w:ind w:right="-18"/>
              <w:jc w:val="both"/>
              <w:rPr>
                <w:color w:val="000000"/>
                <w:sz w:val="22"/>
                <w:szCs w:val="22"/>
                <w:lang w:val="en-GB"/>
              </w:rPr>
            </w:pPr>
          </w:p>
        </w:tc>
      </w:tr>
    </w:tbl>
    <w:p w:rsidR="00961819" w:rsidP="00961819" w:rsidRDefault="00961819" w14:paraId="5BF088FF" w14:textId="77777777">
      <w:pPr>
        <w:ind w:left="450"/>
        <w:jc w:val="both"/>
        <w:rPr>
          <w:i/>
          <w:sz w:val="22"/>
          <w:szCs w:val="22"/>
          <w:lang w:val="en-GB" w:eastAsia="ro-RO"/>
        </w:rPr>
      </w:pPr>
    </w:p>
    <w:p w:rsidR="00961819" w:rsidP="00961819" w:rsidRDefault="00961819" w14:paraId="35C479FA" w14:textId="77777777">
      <w:pPr>
        <w:pStyle w:val="ListParagraph"/>
        <w:ind w:left="450"/>
        <w:contextualSpacing w:val="0"/>
        <w:jc w:val="both"/>
        <w:rPr>
          <w:sz w:val="22"/>
          <w:szCs w:val="22"/>
          <w:lang w:val="en-GB" w:eastAsia="ro-RO"/>
        </w:rPr>
      </w:pPr>
      <w:r w:rsidRPr="00B96B03">
        <w:rPr>
          <w:i/>
          <w:sz w:val="22"/>
          <w:szCs w:val="22"/>
          <w:lang w:val="en-GB" w:eastAsia="ro-RO"/>
        </w:rPr>
        <w:t>Note: Please vote „FOR” for one (1) candidate only</w:t>
      </w:r>
      <w:r w:rsidRPr="00B96B03">
        <w:rPr>
          <w:i/>
          <w:sz w:val="22"/>
          <w:szCs w:val="22"/>
          <w:lang w:eastAsia="ro-RO"/>
        </w:rPr>
        <w:t xml:space="preserve">. </w:t>
      </w:r>
      <w:r w:rsidRPr="00B96B03">
        <w:rPr>
          <w:i/>
          <w:sz w:val="22"/>
          <w:szCs w:val="22"/>
          <w:lang w:val="en-GB" w:eastAsia="ro-RO"/>
        </w:rPr>
        <w:t>Voting „FOR” for more than one (1) candidate will lead to the annulment of the ballot paper. Express your vote by placing an „X” in one of the columns for each option: „FOR”, „AGAINST” or „ABSTENTION”. Placing an „X” in more than one column or not placing an „X” in any of the columns shall mean that the vote will not be taken into consideration</w:t>
      </w:r>
      <w:r w:rsidRPr="00B96B03">
        <w:rPr>
          <w:sz w:val="22"/>
          <w:szCs w:val="22"/>
          <w:lang w:val="en-GB" w:eastAsia="ro-RO"/>
        </w:rPr>
        <w:t>.</w:t>
      </w:r>
    </w:p>
    <w:p w:rsidR="00961819" w:rsidP="00961819" w:rsidRDefault="00961819" w14:paraId="4D882F68" w14:textId="77777777">
      <w:pPr>
        <w:pStyle w:val="ListParagraph"/>
        <w:ind w:left="450"/>
        <w:contextualSpacing w:val="0"/>
        <w:jc w:val="both"/>
        <w:rPr>
          <w:sz w:val="22"/>
          <w:szCs w:val="22"/>
          <w:lang w:val="en-GB" w:eastAsia="ro-RO"/>
        </w:rPr>
      </w:pPr>
    </w:p>
    <w:p w:rsidRPr="009A2180" w:rsidR="00961819" w:rsidP="00961819" w:rsidRDefault="00961819" w14:paraId="7C8F7C79" w14:textId="77777777">
      <w:pPr>
        <w:pStyle w:val="ListParagraph"/>
        <w:ind w:left="450"/>
        <w:contextualSpacing w:val="0"/>
        <w:jc w:val="both"/>
        <w:rPr>
          <w:b/>
          <w:bCs/>
          <w:sz w:val="22"/>
          <w:szCs w:val="22"/>
          <w:lang w:val="en-GB"/>
        </w:rPr>
      </w:pPr>
      <w:r w:rsidRPr="009A2180">
        <w:rPr>
          <w:b/>
          <w:bCs/>
          <w:sz w:val="22"/>
          <w:szCs w:val="22"/>
          <w:lang w:val="en-GB"/>
        </w:rPr>
        <w:t>Note: The candidates for the three (3) vacant positions in the Board of Nominees that do not require special qualifications under Law no. 162/2017 shall be submitted to vote on the same list, with the first three (3) candidates receiving the highest number of votes “FOR”, but not less than 50% + 1 of the votes cast by all shareholders present or represented at this OGM (the legal majority required for the adoption of a decision), being elected as members of the Board of Nominees.</w:t>
      </w:r>
    </w:p>
    <w:p w:rsidRPr="009A2180" w:rsidR="00961819" w:rsidP="00961819" w:rsidRDefault="00961819" w14:paraId="27A72A0A" w14:textId="77777777">
      <w:pPr>
        <w:pStyle w:val="ListParagraph"/>
        <w:ind w:left="450"/>
        <w:contextualSpacing w:val="0"/>
        <w:jc w:val="both"/>
        <w:rPr>
          <w:b/>
          <w:bCs/>
          <w:sz w:val="22"/>
          <w:szCs w:val="22"/>
          <w:lang w:val="en-GB"/>
        </w:rPr>
      </w:pPr>
    </w:p>
    <w:p w:rsidRPr="009A2180" w:rsidR="00961819" w:rsidP="00961819" w:rsidRDefault="00961819" w14:paraId="530493AE" w14:textId="77777777">
      <w:pPr>
        <w:pStyle w:val="ListParagraph"/>
        <w:ind w:left="450"/>
        <w:contextualSpacing w:val="0"/>
        <w:jc w:val="both"/>
        <w:rPr>
          <w:b/>
          <w:bCs/>
          <w:sz w:val="22"/>
          <w:szCs w:val="22"/>
        </w:rPr>
      </w:pPr>
      <w:r w:rsidRPr="009A2180">
        <w:rPr>
          <w:b/>
          <w:bCs/>
          <w:sz w:val="22"/>
          <w:szCs w:val="22"/>
        </w:rPr>
        <w:t>Note: Each shareholder may cast a “FOR” vote for up to three (3) candidates, as there are three (3) members to be appointed to the Board of Nominees under this item on the OGM agenda.</w:t>
      </w:r>
    </w:p>
    <w:p w:rsidR="00961819" w:rsidP="00961819" w:rsidRDefault="00961819" w14:paraId="71A25013" w14:textId="77777777">
      <w:pPr>
        <w:pStyle w:val="ListParagraph"/>
        <w:ind w:left="450"/>
        <w:contextualSpacing w:val="0"/>
        <w:jc w:val="both"/>
        <w:rPr>
          <w:sz w:val="22"/>
          <w:szCs w:val="22"/>
        </w:rPr>
      </w:pPr>
    </w:p>
    <w:p w:rsidRPr="001A426B" w:rsidR="00961819" w:rsidP="00961819" w:rsidRDefault="00961819" w14:paraId="7AE6EF3F" w14:textId="77777777">
      <w:pPr>
        <w:pStyle w:val="ListParagraph"/>
        <w:ind w:left="450"/>
        <w:jc w:val="both"/>
        <w:rPr>
          <w:b/>
          <w:bCs/>
          <w:sz w:val="22"/>
          <w:szCs w:val="22"/>
        </w:rPr>
      </w:pPr>
      <w:r w:rsidRPr="001A426B">
        <w:rPr>
          <w:b/>
          <w:bCs/>
          <w:sz w:val="22"/>
          <w:szCs w:val="22"/>
        </w:rPr>
        <w:t>Note:</w:t>
      </w:r>
      <w:r w:rsidRPr="001A426B">
        <w:rPr>
          <w:b/>
          <w:bCs/>
        </w:rPr>
        <w:t xml:space="preserve"> </w:t>
      </w:r>
      <w:r w:rsidRPr="001A426B">
        <w:rPr>
          <w:b/>
          <w:bCs/>
          <w:sz w:val="22"/>
          <w:szCs w:val="22"/>
        </w:rPr>
        <w:t xml:space="preserve">Considering the availability of vacant positions with different requirements for membership in the Board of Nominees, each candidate shall apply for only one vacancy, in accordance with item 1 </w:t>
      </w:r>
      <w:r w:rsidRPr="001A426B">
        <w:rPr>
          <w:b/>
          <w:bCs/>
          <w:i/>
          <w:iCs/>
          <w:sz w:val="22"/>
          <w:szCs w:val="22"/>
        </w:rPr>
        <w:t>or</w:t>
      </w:r>
      <w:r w:rsidRPr="001A426B">
        <w:rPr>
          <w:b/>
          <w:bCs/>
          <w:sz w:val="22"/>
          <w:szCs w:val="22"/>
        </w:rPr>
        <w:t xml:space="preserve"> item 2 on the agenda of this OGM.</w:t>
      </w:r>
    </w:p>
    <w:p w:rsidRPr="001A426B" w:rsidR="00961819" w:rsidP="00961819" w:rsidRDefault="00961819" w14:paraId="087537F4" w14:textId="77777777">
      <w:pPr>
        <w:pStyle w:val="ListParagraph"/>
        <w:ind w:left="450"/>
        <w:jc w:val="both"/>
        <w:rPr>
          <w:b/>
          <w:bCs/>
          <w:sz w:val="22"/>
          <w:szCs w:val="22"/>
        </w:rPr>
      </w:pPr>
    </w:p>
    <w:p w:rsidRPr="001A426B" w:rsidR="00961819" w:rsidP="00961819" w:rsidRDefault="00961819" w14:paraId="13F04D0E" w14:textId="77777777">
      <w:pPr>
        <w:pStyle w:val="ListParagraph"/>
        <w:ind w:left="450"/>
        <w:contextualSpacing w:val="0"/>
        <w:jc w:val="both"/>
        <w:rPr>
          <w:b/>
          <w:bCs/>
          <w:sz w:val="22"/>
          <w:szCs w:val="22"/>
        </w:rPr>
      </w:pPr>
      <w:r w:rsidRPr="001A426B">
        <w:rPr>
          <w:b/>
          <w:bCs/>
          <w:sz w:val="22"/>
          <w:szCs w:val="22"/>
        </w:rPr>
        <w:t>If a candidate applies for all vacant positions as provided under items 1 and 2 on the agenda of this OGM, the candidacy shall be considered as submitted: (</w:t>
      </w:r>
      <w:proofErr w:type="spellStart"/>
      <w:r w:rsidRPr="001A426B">
        <w:rPr>
          <w:b/>
          <w:bCs/>
          <w:sz w:val="22"/>
          <w:szCs w:val="22"/>
        </w:rPr>
        <w:t>i</w:t>
      </w:r>
      <w:proofErr w:type="spellEnd"/>
      <w:r w:rsidRPr="001A426B">
        <w:rPr>
          <w:b/>
          <w:bCs/>
          <w:sz w:val="22"/>
          <w:szCs w:val="22"/>
        </w:rPr>
        <w:t>) for the vacant position under item 1, provided that the respective candidate meets the requirements set out under Law no. 162/2017; or (ii) for the vacant position under item 2, if the candidate does not meet the requirements set out in Law no. 162/2017. The candidate shall have the right to change their option until the expiry of the deadline for submitting candidacies, namely until 27 October 2025, at 5:00 PM (Romanian time).</w:t>
      </w:r>
    </w:p>
    <w:p w:rsidR="00961819" w:rsidP="00961819" w:rsidRDefault="00961819" w14:paraId="04C8DB85" w14:textId="77777777">
      <w:pPr>
        <w:pStyle w:val="ListParagraph"/>
        <w:ind w:left="450"/>
        <w:contextualSpacing w:val="0"/>
        <w:jc w:val="both"/>
        <w:rPr>
          <w:color w:val="0000FF"/>
          <w:sz w:val="22"/>
          <w:szCs w:val="22"/>
          <w:lang w:val="en-GB"/>
        </w:rPr>
      </w:pPr>
    </w:p>
    <w:p w:rsidR="00961819" w:rsidP="00961819" w:rsidRDefault="00961819" w14:paraId="289A3118" w14:textId="77777777">
      <w:pPr>
        <w:pStyle w:val="ListParagraph"/>
        <w:numPr>
          <w:ilvl w:val="0"/>
          <w:numId w:val="2"/>
        </w:numPr>
        <w:ind w:left="450"/>
        <w:contextualSpacing w:val="0"/>
        <w:jc w:val="both"/>
        <w:rPr>
          <w:sz w:val="22"/>
          <w:szCs w:val="22"/>
          <w:lang w:val="en-GB"/>
        </w:rPr>
      </w:pPr>
      <w:r>
        <w:rPr>
          <w:b/>
          <w:bCs/>
          <w:iCs/>
          <w:sz w:val="22"/>
          <w:szCs w:val="22"/>
          <w:lang w:val="en-GB" w:eastAsia="ro-RO"/>
        </w:rPr>
        <w:t>For item 3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rsidR="00961819" w:rsidP="00961819" w:rsidRDefault="00961819" w14:paraId="3E5A2CE7" w14:textId="77777777">
      <w:pPr>
        <w:pStyle w:val="ListParagraph"/>
        <w:ind w:left="450"/>
        <w:contextualSpacing w:val="0"/>
        <w:jc w:val="both"/>
        <w:rPr>
          <w:sz w:val="22"/>
          <w:szCs w:val="22"/>
          <w:lang w:val="en-GB"/>
        </w:rPr>
      </w:pPr>
    </w:p>
    <w:p w:rsidRPr="00B842B4" w:rsidR="00961819" w:rsidP="00961819" w:rsidRDefault="00961819" w14:paraId="247962D3" w14:textId="77777777">
      <w:pPr>
        <w:pStyle w:val="ListParagraph"/>
        <w:ind w:left="450"/>
        <w:jc w:val="both"/>
        <w:rPr>
          <w:i/>
          <w:iCs/>
          <w:sz w:val="22"/>
          <w:szCs w:val="22"/>
          <w:lang w:val="en-GB"/>
        </w:rPr>
      </w:pPr>
      <w:r w:rsidRPr="00B842B4">
        <w:rPr>
          <w:i/>
          <w:iCs/>
          <w:sz w:val="22"/>
          <w:szCs w:val="22"/>
          <w:lang w:val="en-GB"/>
        </w:rPr>
        <w:t xml:space="preserve">“The approval of the authorisation of the Chairperson of the Board of Nominees (with authority to be substituted by another member of the Board of Nominees), to represent Fondul </w:t>
      </w:r>
      <w:proofErr w:type="spellStart"/>
      <w:r w:rsidRPr="00B842B4">
        <w:rPr>
          <w:i/>
          <w:iCs/>
          <w:sz w:val="22"/>
          <w:szCs w:val="22"/>
          <w:lang w:val="en-GB"/>
        </w:rPr>
        <w:t>Proprietatea</w:t>
      </w:r>
      <w:proofErr w:type="spellEnd"/>
      <w:r w:rsidRPr="00B842B4">
        <w:rPr>
          <w:i/>
          <w:iCs/>
          <w:sz w:val="22"/>
          <w:szCs w:val="22"/>
          <w:lang w:val="en-GB"/>
        </w:rPr>
        <w:t xml:space="preserve"> and to sign on its behalf, such person’s signature being binding upon the Fund (the “Authorisation”): </w:t>
      </w:r>
    </w:p>
    <w:p w:rsidRPr="00B842B4" w:rsidR="00961819" w:rsidP="00961819" w:rsidRDefault="00961819" w14:paraId="5FD10860" w14:textId="77777777">
      <w:pPr>
        <w:pStyle w:val="ListParagraph"/>
        <w:ind w:left="450"/>
        <w:jc w:val="both"/>
        <w:rPr>
          <w:i/>
          <w:iCs/>
          <w:sz w:val="22"/>
          <w:szCs w:val="22"/>
          <w:lang w:val="en-GB"/>
        </w:rPr>
      </w:pPr>
    </w:p>
    <w:p w:rsidRPr="00B842B4" w:rsidR="00961819" w:rsidP="00961819" w:rsidRDefault="00961819" w14:paraId="713B2EE7" w14:textId="77777777">
      <w:pPr>
        <w:pStyle w:val="ListParagraph"/>
        <w:numPr>
          <w:ilvl w:val="0"/>
          <w:numId w:val="34"/>
        </w:numPr>
        <w:jc w:val="both"/>
        <w:rPr>
          <w:i/>
          <w:iCs/>
          <w:sz w:val="22"/>
          <w:szCs w:val="22"/>
          <w:lang w:val="en-GB"/>
        </w:rPr>
      </w:pPr>
      <w:r w:rsidRPr="00B842B4">
        <w:rPr>
          <w:i/>
          <w:iCs/>
          <w:sz w:val="22"/>
          <w:szCs w:val="22"/>
          <w:lang w:val="en-GB"/>
        </w:rPr>
        <w:t xml:space="preserve">the agreements with the advisors selected by the Board of Nominees to assist Fondul </w:t>
      </w:r>
      <w:proofErr w:type="spellStart"/>
      <w:r w:rsidRPr="00B842B4">
        <w:rPr>
          <w:i/>
          <w:iCs/>
          <w:sz w:val="22"/>
          <w:szCs w:val="22"/>
          <w:lang w:val="en-GB"/>
        </w:rPr>
        <w:t>Proprietatea</w:t>
      </w:r>
      <w:proofErr w:type="spellEnd"/>
      <w:r w:rsidRPr="00B842B4">
        <w:rPr>
          <w:i/>
          <w:iCs/>
          <w:sz w:val="22"/>
          <w:szCs w:val="22"/>
          <w:lang w:val="en-GB"/>
        </w:rPr>
        <w:t xml:space="preserve"> and the Board of Nominees in connection with the mandates granted by the shareholders following the OGSM meeting held on 29 September 2025;</w:t>
      </w:r>
    </w:p>
    <w:p w:rsidRPr="00B842B4" w:rsidR="00961819" w:rsidP="00961819" w:rsidRDefault="00961819" w14:paraId="06834091" w14:textId="77777777">
      <w:pPr>
        <w:jc w:val="both"/>
        <w:rPr>
          <w:i/>
          <w:iCs/>
          <w:sz w:val="22"/>
          <w:szCs w:val="22"/>
          <w:lang w:val="en-GB"/>
        </w:rPr>
      </w:pPr>
    </w:p>
    <w:p w:rsidRPr="00B842B4" w:rsidR="00961819" w:rsidP="00961819" w:rsidRDefault="00961819" w14:paraId="7450BCD6" w14:textId="77777777">
      <w:pPr>
        <w:pStyle w:val="ListParagraph"/>
        <w:numPr>
          <w:ilvl w:val="0"/>
          <w:numId w:val="34"/>
        </w:numPr>
        <w:jc w:val="both"/>
        <w:rPr>
          <w:i/>
          <w:iCs/>
          <w:sz w:val="22"/>
          <w:szCs w:val="22"/>
          <w:lang w:val="en-GB"/>
        </w:rPr>
      </w:pPr>
      <w:r w:rsidRPr="00B842B4">
        <w:rPr>
          <w:i/>
          <w:iCs/>
          <w:sz w:val="22"/>
          <w:szCs w:val="22"/>
          <w:lang w:val="en-GB"/>
        </w:rPr>
        <w:t>any documents (as well as any amendments thereto) relating to the mandates granted by the shareholders following the OGSM meeting held on 29 September 2025; and</w:t>
      </w:r>
    </w:p>
    <w:p w:rsidRPr="00B842B4" w:rsidR="00961819" w:rsidP="00961819" w:rsidRDefault="00961819" w14:paraId="5869467E" w14:textId="77777777">
      <w:pPr>
        <w:pStyle w:val="ListParagraph"/>
        <w:ind w:left="810"/>
        <w:jc w:val="both"/>
        <w:rPr>
          <w:i/>
          <w:iCs/>
          <w:sz w:val="22"/>
          <w:szCs w:val="22"/>
          <w:lang w:val="en-GB"/>
        </w:rPr>
      </w:pPr>
    </w:p>
    <w:p w:rsidRPr="00B842B4" w:rsidR="00961819" w:rsidP="00961819" w:rsidRDefault="00961819" w14:paraId="59C22737" w14:textId="77777777">
      <w:pPr>
        <w:pStyle w:val="ListParagraph"/>
        <w:numPr>
          <w:ilvl w:val="0"/>
          <w:numId w:val="34"/>
        </w:numPr>
        <w:jc w:val="both"/>
        <w:rPr>
          <w:i/>
          <w:iCs/>
          <w:sz w:val="22"/>
          <w:szCs w:val="22"/>
          <w:lang w:val="en-GB"/>
        </w:rPr>
      </w:pPr>
      <w:r w:rsidRPr="00B842B4">
        <w:rPr>
          <w:i/>
          <w:iCs/>
          <w:sz w:val="22"/>
          <w:szCs w:val="22"/>
          <w:lang w:val="en-GB"/>
        </w:rPr>
        <w:t>all agreements with advisors and any other documents that are necessary, desirable and/or appropriate, and which have been approved by the Board of Nominees, in order to fulfil the Authorisation granted hereby.”</w:t>
      </w:r>
    </w:p>
    <w:p w:rsidR="00961819" w:rsidP="00961819" w:rsidRDefault="00961819" w14:paraId="086741D9" w14:textId="77777777">
      <w:pPr>
        <w:pStyle w:val="ListParagraph"/>
        <w:ind w:left="450"/>
        <w:contextualSpacing w:val="0"/>
        <w:jc w:val="both"/>
        <w:rPr>
          <w:sz w:val="22"/>
          <w:szCs w:val="22"/>
          <w:lang w:val="en-GB"/>
        </w:rPr>
      </w:pPr>
    </w:p>
    <w:p w:rsidRPr="008713B0" w:rsidR="00961819" w:rsidP="00961819" w:rsidRDefault="00961819" w14:paraId="0657AD2F" w14:textId="77777777">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Pr="006B457D" w:rsidR="00961819" w:rsidTr="00030775" w14:paraId="33452C7D" w14:textId="77777777">
        <w:trPr>
          <w:trHeight w:val="300"/>
        </w:trPr>
        <w:tc>
          <w:tcPr>
            <w:tcW w:w="2559" w:type="dxa"/>
            <w:tcBorders>
              <w:top w:val="single" w:color="auto" w:sz="4" w:space="0"/>
              <w:left w:val="single" w:color="auto" w:sz="4" w:space="0"/>
              <w:bottom w:val="single" w:color="auto" w:sz="4" w:space="0"/>
              <w:right w:val="single" w:color="auto" w:sz="4" w:space="0"/>
            </w:tcBorders>
            <w:noWrap/>
            <w:vAlign w:val="bottom"/>
            <w:hideMark/>
          </w:tcPr>
          <w:p w:rsidRPr="008C10B6" w:rsidR="00961819" w:rsidP="00030775" w:rsidRDefault="00961819" w14:paraId="6C9B8710" w14:textId="77777777">
            <w:pPr>
              <w:jc w:val="both"/>
              <w:rPr>
                <w:b/>
                <w:bCs/>
                <w:color w:val="000000"/>
                <w:sz w:val="22"/>
                <w:szCs w:val="22"/>
                <w:lang w:val="en-GB"/>
              </w:rPr>
            </w:pPr>
            <w:r w:rsidRPr="008C10B6">
              <w:rPr>
                <w:b/>
                <w:bCs/>
                <w:color w:val="000000"/>
                <w:sz w:val="22"/>
                <w:szCs w:val="22"/>
                <w:lang w:val="en-GB"/>
              </w:rPr>
              <w:t> FOR</w:t>
            </w:r>
          </w:p>
        </w:tc>
        <w:tc>
          <w:tcPr>
            <w:tcW w:w="2815" w:type="dxa"/>
            <w:tcBorders>
              <w:top w:val="single" w:color="auto" w:sz="4" w:space="0"/>
              <w:left w:val="nil"/>
              <w:bottom w:val="single" w:color="auto" w:sz="4" w:space="0"/>
              <w:right w:val="single" w:color="auto" w:sz="4" w:space="0"/>
            </w:tcBorders>
            <w:noWrap/>
            <w:vAlign w:val="bottom"/>
            <w:hideMark/>
          </w:tcPr>
          <w:p w:rsidRPr="008C10B6" w:rsidR="00961819" w:rsidP="00030775" w:rsidRDefault="00961819" w14:paraId="25996A59" w14:textId="77777777">
            <w:pPr>
              <w:jc w:val="both"/>
              <w:rPr>
                <w:b/>
                <w:bCs/>
                <w:color w:val="000000"/>
                <w:sz w:val="22"/>
                <w:szCs w:val="22"/>
                <w:lang w:val="en-GB"/>
              </w:rPr>
            </w:pPr>
            <w:r w:rsidRPr="008C10B6">
              <w:rPr>
                <w:b/>
                <w:bCs/>
                <w:color w:val="000000"/>
                <w:sz w:val="22"/>
                <w:szCs w:val="22"/>
                <w:lang w:val="en-GB"/>
              </w:rPr>
              <w:t>AGAINST</w:t>
            </w:r>
          </w:p>
        </w:tc>
        <w:tc>
          <w:tcPr>
            <w:tcW w:w="3176" w:type="dxa"/>
            <w:tcBorders>
              <w:top w:val="single" w:color="auto" w:sz="4" w:space="0"/>
              <w:left w:val="nil"/>
              <w:bottom w:val="single" w:color="auto" w:sz="4" w:space="0"/>
              <w:right w:val="single" w:color="auto" w:sz="4" w:space="0"/>
            </w:tcBorders>
            <w:noWrap/>
            <w:vAlign w:val="bottom"/>
            <w:hideMark/>
          </w:tcPr>
          <w:p w:rsidRPr="008C10B6" w:rsidR="00961819" w:rsidP="00030775" w:rsidRDefault="00961819" w14:paraId="0991A3CA" w14:textId="77777777">
            <w:pPr>
              <w:jc w:val="both"/>
              <w:rPr>
                <w:b/>
                <w:bCs/>
                <w:color w:val="000000"/>
                <w:sz w:val="22"/>
                <w:szCs w:val="22"/>
                <w:lang w:val="en-GB"/>
              </w:rPr>
            </w:pPr>
            <w:r w:rsidRPr="008C10B6">
              <w:rPr>
                <w:b/>
                <w:bCs/>
                <w:color w:val="000000"/>
                <w:sz w:val="22"/>
                <w:szCs w:val="22"/>
                <w:lang w:val="en-GB"/>
              </w:rPr>
              <w:t> ABSTENTION</w:t>
            </w:r>
          </w:p>
        </w:tc>
      </w:tr>
      <w:tr w:rsidRPr="006B457D" w:rsidR="00961819" w:rsidTr="00030775" w14:paraId="314C09B4" w14:textId="77777777">
        <w:trPr>
          <w:trHeight w:val="300"/>
        </w:trPr>
        <w:tc>
          <w:tcPr>
            <w:tcW w:w="2559" w:type="dxa"/>
            <w:tcBorders>
              <w:top w:val="nil"/>
              <w:left w:val="single" w:color="auto" w:sz="4" w:space="0"/>
              <w:bottom w:val="single" w:color="auto" w:sz="4" w:space="0"/>
              <w:right w:val="single" w:color="auto" w:sz="4" w:space="0"/>
            </w:tcBorders>
            <w:noWrap/>
            <w:vAlign w:val="bottom"/>
            <w:hideMark/>
          </w:tcPr>
          <w:p w:rsidRPr="008713B0" w:rsidR="00961819" w:rsidP="00030775" w:rsidRDefault="00961819" w14:paraId="7FC88269" w14:textId="77777777">
            <w:pPr>
              <w:jc w:val="both"/>
              <w:rPr>
                <w:color w:val="000000"/>
                <w:sz w:val="22"/>
                <w:szCs w:val="22"/>
                <w:lang w:val="en-GB"/>
              </w:rPr>
            </w:pPr>
          </w:p>
        </w:tc>
        <w:tc>
          <w:tcPr>
            <w:tcW w:w="2815" w:type="dxa"/>
            <w:tcBorders>
              <w:top w:val="nil"/>
              <w:left w:val="nil"/>
              <w:bottom w:val="single" w:color="auto" w:sz="4" w:space="0"/>
              <w:right w:val="single" w:color="auto" w:sz="4" w:space="0"/>
            </w:tcBorders>
            <w:noWrap/>
            <w:vAlign w:val="bottom"/>
            <w:hideMark/>
          </w:tcPr>
          <w:p w:rsidRPr="008713B0" w:rsidR="00961819" w:rsidP="00030775" w:rsidRDefault="00961819" w14:paraId="4A3FEF87" w14:textId="77777777">
            <w:pPr>
              <w:jc w:val="both"/>
              <w:rPr>
                <w:color w:val="000000"/>
                <w:sz w:val="22"/>
                <w:szCs w:val="22"/>
                <w:lang w:val="en-GB"/>
              </w:rPr>
            </w:pPr>
          </w:p>
        </w:tc>
        <w:tc>
          <w:tcPr>
            <w:tcW w:w="3176" w:type="dxa"/>
            <w:tcBorders>
              <w:top w:val="nil"/>
              <w:left w:val="nil"/>
              <w:bottom w:val="single" w:color="auto" w:sz="4" w:space="0"/>
              <w:right w:val="single" w:color="auto" w:sz="4" w:space="0"/>
            </w:tcBorders>
            <w:noWrap/>
            <w:vAlign w:val="bottom"/>
            <w:hideMark/>
          </w:tcPr>
          <w:p w:rsidRPr="008713B0" w:rsidR="00961819" w:rsidP="00030775" w:rsidRDefault="00961819" w14:paraId="11D4F1C7" w14:textId="77777777">
            <w:pPr>
              <w:jc w:val="both"/>
              <w:rPr>
                <w:color w:val="000000"/>
                <w:sz w:val="22"/>
                <w:szCs w:val="22"/>
                <w:lang w:val="en-GB"/>
              </w:rPr>
            </w:pPr>
          </w:p>
        </w:tc>
      </w:tr>
    </w:tbl>
    <w:p w:rsidR="00961819" w:rsidP="00961819" w:rsidRDefault="00961819" w14:paraId="4D1D10E3" w14:textId="77777777">
      <w:pPr>
        <w:ind w:left="450"/>
        <w:jc w:val="both"/>
        <w:rPr>
          <w:i/>
          <w:sz w:val="22"/>
          <w:szCs w:val="22"/>
          <w:lang w:val="en-GB" w:eastAsia="ro-RO"/>
        </w:rPr>
      </w:pPr>
    </w:p>
    <w:p w:rsidRPr="003A01B3" w:rsidR="00961819" w:rsidP="00961819" w:rsidRDefault="00961819" w14:paraId="6F1DADC7" w14:textId="77777777">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rsidR="00961819" w:rsidP="00961819" w:rsidRDefault="00961819" w14:paraId="60A098E9" w14:textId="77777777">
      <w:pPr>
        <w:jc w:val="both"/>
        <w:rPr>
          <w:color w:val="0000FF"/>
          <w:sz w:val="22"/>
          <w:szCs w:val="22"/>
          <w:lang w:val="en-GB"/>
        </w:rPr>
      </w:pPr>
    </w:p>
    <w:p w:rsidR="00961819" w:rsidP="00961819" w:rsidRDefault="00961819" w14:paraId="0C1718F6" w14:textId="77777777">
      <w:pPr>
        <w:pStyle w:val="ListParagraph"/>
        <w:numPr>
          <w:ilvl w:val="0"/>
          <w:numId w:val="2"/>
        </w:numPr>
        <w:ind w:left="450"/>
        <w:contextualSpacing w:val="0"/>
        <w:jc w:val="both"/>
        <w:rPr>
          <w:sz w:val="22"/>
          <w:szCs w:val="22"/>
          <w:lang w:val="en-GB"/>
        </w:rPr>
      </w:pPr>
      <w:r>
        <w:rPr>
          <w:b/>
          <w:bCs/>
          <w:iCs/>
          <w:sz w:val="22"/>
          <w:szCs w:val="22"/>
          <w:lang w:val="en-GB" w:eastAsia="ro-RO"/>
        </w:rPr>
        <w:t>For item 4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rsidR="00961819" w:rsidP="00961819" w:rsidRDefault="00961819" w14:paraId="6D254193" w14:textId="77777777">
      <w:pPr>
        <w:pStyle w:val="ListParagraph"/>
        <w:ind w:left="450"/>
        <w:contextualSpacing w:val="0"/>
        <w:jc w:val="both"/>
        <w:rPr>
          <w:sz w:val="22"/>
          <w:szCs w:val="22"/>
          <w:lang w:val="en-GB"/>
        </w:rPr>
      </w:pPr>
    </w:p>
    <w:p w:rsidRPr="008066CE" w:rsidR="00961819" w:rsidP="00961819" w:rsidRDefault="00961819" w14:paraId="495184AF" w14:textId="77777777">
      <w:pPr>
        <w:pStyle w:val="ListParagraph"/>
        <w:ind w:left="450"/>
        <w:contextualSpacing w:val="0"/>
        <w:jc w:val="both"/>
        <w:rPr>
          <w:b/>
          <w:bCs/>
          <w:i/>
          <w:iCs/>
          <w:sz w:val="22"/>
          <w:szCs w:val="22"/>
          <w:lang w:val="en-GB"/>
        </w:rPr>
      </w:pPr>
      <w:r w:rsidRPr="008066CE">
        <w:rPr>
          <w:sz w:val="22"/>
          <w:szCs w:val="22"/>
          <w:lang w:val="en-GB"/>
        </w:rPr>
        <w:t>“</w:t>
      </w:r>
      <w:r w:rsidRPr="00F233B2">
        <w:rPr>
          <w:i/>
          <w:sz w:val="22"/>
          <w:szCs w:val="22"/>
          <w:lang w:val="en-GB"/>
        </w:rPr>
        <w:t xml:space="preserve">The </w:t>
      </w:r>
      <w:r w:rsidRPr="00F233B2">
        <w:rPr>
          <w:i/>
          <w:sz w:val="22"/>
          <w:szCs w:val="22"/>
        </w:rPr>
        <w:t>approval</w:t>
      </w:r>
      <w:r w:rsidRPr="00F233B2">
        <w:rPr>
          <w:i/>
          <w:sz w:val="22"/>
          <w:szCs w:val="22"/>
          <w:lang w:val="en-GB"/>
        </w:rPr>
        <w:t xml:space="preserve"> of:</w:t>
      </w:r>
    </w:p>
    <w:p w:rsidRPr="008066CE" w:rsidR="00961819" w:rsidP="00961819" w:rsidRDefault="00961819" w14:paraId="575C1726" w14:textId="77777777">
      <w:pPr>
        <w:pStyle w:val="ListParagraph"/>
        <w:ind w:left="450"/>
        <w:jc w:val="both"/>
        <w:rPr>
          <w:sz w:val="22"/>
          <w:szCs w:val="22"/>
          <w:lang w:val="en-GB"/>
        </w:rPr>
      </w:pPr>
    </w:p>
    <w:p w:rsidRPr="00F233B2" w:rsidR="00961819" w:rsidP="00961819" w:rsidRDefault="00961819" w14:paraId="02F0E406" w14:textId="77777777">
      <w:pPr>
        <w:pStyle w:val="ListParagraph"/>
        <w:numPr>
          <w:ilvl w:val="0"/>
          <w:numId w:val="28"/>
        </w:numPr>
        <w:jc w:val="both"/>
        <w:rPr>
          <w:i/>
          <w:sz w:val="22"/>
          <w:szCs w:val="22"/>
          <w:lang w:val="en-GB"/>
        </w:rPr>
      </w:pPr>
      <w:r w:rsidRPr="008066CE">
        <w:rPr>
          <w:i/>
          <w:sz w:val="22"/>
          <w:szCs w:val="22"/>
          <w:lang w:val="en-GB"/>
        </w:rPr>
        <w:t xml:space="preserve">The date of </w:t>
      </w:r>
      <w:r>
        <w:rPr>
          <w:b/>
          <w:i/>
          <w:sz w:val="22"/>
          <w:szCs w:val="22"/>
          <w:lang w:val="en-GB"/>
        </w:rPr>
        <w:t>9 December</w:t>
      </w:r>
      <w:r w:rsidRPr="008066CE">
        <w:rPr>
          <w:b/>
          <w:i/>
          <w:sz w:val="22"/>
          <w:szCs w:val="22"/>
          <w:lang w:val="en-GB"/>
        </w:rPr>
        <w:t xml:space="preserve"> 2025</w:t>
      </w:r>
      <w:r w:rsidRPr="008066CE">
        <w:rPr>
          <w:i/>
          <w:sz w:val="22"/>
          <w:szCs w:val="22"/>
        </w:rPr>
        <w:t xml:space="preserve"> </w:t>
      </w:r>
      <w:r w:rsidRPr="008066CE">
        <w:rPr>
          <w:i/>
          <w:sz w:val="22"/>
          <w:szCs w:val="22"/>
          <w:lang w:val="en-GB"/>
        </w:rPr>
        <w:t xml:space="preserve">as the </w:t>
      </w:r>
      <w:r w:rsidRPr="008066CE">
        <w:rPr>
          <w:b/>
          <w:bCs/>
          <w:i/>
          <w:iCs/>
          <w:sz w:val="22"/>
          <w:szCs w:val="22"/>
          <w:lang w:val="en-GB"/>
        </w:rPr>
        <w:t>Ex – Date</w:t>
      </w:r>
      <w:r w:rsidRPr="008066CE">
        <w:rPr>
          <w:i/>
          <w:sz w:val="22"/>
          <w:szCs w:val="22"/>
          <w:lang w:val="en-GB"/>
        </w:rPr>
        <w:t xml:space="preserve">, in accordance with Article 176 paragraph (1), computed with the provisions of Article 2 paragraph (2) letter (l) of Regulation no. 5/2018; </w:t>
      </w:r>
    </w:p>
    <w:p w:rsidRPr="00F233B2" w:rsidR="00961819" w:rsidP="00961819" w:rsidRDefault="00961819" w14:paraId="6E687E23" w14:textId="77777777">
      <w:pPr>
        <w:pStyle w:val="ListParagraph"/>
        <w:jc w:val="both"/>
        <w:rPr>
          <w:i/>
          <w:sz w:val="22"/>
          <w:szCs w:val="22"/>
          <w:lang w:val="en-GB"/>
        </w:rPr>
      </w:pPr>
    </w:p>
    <w:p w:rsidRPr="00F233B2" w:rsidR="00961819" w:rsidP="00961819" w:rsidRDefault="00961819" w14:paraId="39BBFB41" w14:textId="77777777">
      <w:pPr>
        <w:pStyle w:val="ListParagraph"/>
        <w:jc w:val="both"/>
        <w:rPr>
          <w:i/>
          <w:sz w:val="22"/>
          <w:szCs w:val="22"/>
          <w:lang w:val="en-GB"/>
        </w:rPr>
      </w:pPr>
      <w:r w:rsidRPr="00F233B2">
        <w:rPr>
          <w:i/>
          <w:sz w:val="22"/>
          <w:szCs w:val="22"/>
          <w:lang w:val="en-GB"/>
        </w:rPr>
        <w:t xml:space="preserve">The date of </w:t>
      </w:r>
      <w:r>
        <w:rPr>
          <w:b/>
          <w:i/>
          <w:sz w:val="22"/>
          <w:szCs w:val="22"/>
          <w:lang w:val="en-GB"/>
        </w:rPr>
        <w:t>10 December</w:t>
      </w:r>
      <w:r w:rsidRPr="00F233B2">
        <w:rPr>
          <w:b/>
          <w:i/>
          <w:sz w:val="22"/>
          <w:szCs w:val="22"/>
          <w:lang w:val="en-GB"/>
        </w:rPr>
        <w:t xml:space="preserve"> 2025</w:t>
      </w:r>
      <w:r w:rsidRPr="00F233B2">
        <w:rPr>
          <w:i/>
          <w:sz w:val="22"/>
          <w:szCs w:val="22"/>
        </w:rPr>
        <w:t xml:space="preserve"> </w:t>
      </w:r>
      <w:r w:rsidRPr="00F233B2">
        <w:rPr>
          <w:i/>
          <w:sz w:val="22"/>
          <w:szCs w:val="22"/>
          <w:lang w:val="en-GB"/>
        </w:rPr>
        <w:t xml:space="preserve">as the </w:t>
      </w:r>
      <w:r w:rsidRPr="008066CE">
        <w:rPr>
          <w:b/>
          <w:bCs/>
          <w:i/>
          <w:iCs/>
          <w:sz w:val="22"/>
          <w:szCs w:val="22"/>
          <w:lang w:val="en-GB"/>
        </w:rPr>
        <w:t>Registration Date</w:t>
      </w:r>
      <w:r w:rsidRPr="00F233B2">
        <w:rPr>
          <w:i/>
          <w:sz w:val="22"/>
          <w:szCs w:val="22"/>
          <w:lang w:val="en-GB"/>
        </w:rPr>
        <w:t>, in accordance with Article 176 paragraph (1) of Regulation no. 5/2018, computed with the provisions of Article 87 paragraph (1) of Issuers’ Law;</w:t>
      </w:r>
    </w:p>
    <w:p w:rsidRPr="00F233B2" w:rsidR="00961819" w:rsidP="00961819" w:rsidRDefault="00961819" w14:paraId="7BA2C4CD" w14:textId="77777777">
      <w:pPr>
        <w:pStyle w:val="ListParagraph"/>
        <w:jc w:val="both"/>
        <w:rPr>
          <w:i/>
          <w:sz w:val="22"/>
          <w:szCs w:val="22"/>
          <w:lang w:val="en-GB"/>
        </w:rPr>
      </w:pPr>
    </w:p>
    <w:p w:rsidRPr="00F233B2" w:rsidR="00961819" w:rsidP="00961819" w:rsidRDefault="00961819" w14:paraId="2E64E4A9" w14:textId="77777777">
      <w:pPr>
        <w:pStyle w:val="ListParagraph"/>
        <w:jc w:val="both"/>
        <w:rPr>
          <w:i/>
          <w:sz w:val="22"/>
          <w:szCs w:val="22"/>
          <w:lang w:val="en-GB"/>
        </w:rPr>
      </w:pPr>
      <w:r w:rsidRPr="00F233B2">
        <w:rPr>
          <w:i/>
          <w:sz w:val="22"/>
          <w:szCs w:val="22"/>
          <w:lang w:val="en-GB"/>
        </w:rPr>
        <w:t>As they are not applicable to this OGM, the shareholders do not decide on the other aspects provided by Article 176 paragraph (1) of Regulation no. 5/2018 such as date of the guaranteed participation</w:t>
      </w:r>
      <w:r>
        <w:rPr>
          <w:i/>
          <w:sz w:val="22"/>
          <w:szCs w:val="22"/>
          <w:lang w:val="en-GB"/>
        </w:rPr>
        <w:t xml:space="preserve"> and the payment date.</w:t>
      </w:r>
    </w:p>
    <w:p w:rsidRPr="008066CE" w:rsidR="00961819" w:rsidP="00961819" w:rsidRDefault="00961819" w14:paraId="6FA4E85B" w14:textId="77777777">
      <w:pPr>
        <w:pStyle w:val="ListParagraph"/>
        <w:jc w:val="both"/>
        <w:rPr>
          <w:i/>
          <w:sz w:val="22"/>
          <w:szCs w:val="22"/>
          <w:lang w:val="en-GB"/>
        </w:rPr>
      </w:pPr>
    </w:p>
    <w:p w:rsidRPr="008066CE" w:rsidR="00961819" w:rsidP="00961819" w:rsidRDefault="00961819" w14:paraId="2472D768" w14:textId="77777777">
      <w:pPr>
        <w:pStyle w:val="ListParagraph"/>
        <w:numPr>
          <w:ilvl w:val="0"/>
          <w:numId w:val="28"/>
        </w:numPr>
        <w:jc w:val="both"/>
        <w:rPr>
          <w:i/>
          <w:sz w:val="22"/>
          <w:szCs w:val="22"/>
          <w:lang w:val="en-GB"/>
        </w:rPr>
      </w:pPr>
      <w:r w:rsidRPr="008066CE">
        <w:rPr>
          <w:i/>
          <w:sz w:val="22"/>
          <w:szCs w:val="22"/>
          <w:lang w:val="en-GB"/>
        </w:rPr>
        <w:t>The empowerment, with authority to sub-delegate, of Daniel Naftali to sign the shareholders’ resolutions, as well as any other documents in connection therewith, and to carry out all procedures and formalities set out by law for the purpose of implementing the shareholders’ resolution, including formalities for publication and registration thereof with the Trade Registry or with any other public institution</w:t>
      </w:r>
      <w:r w:rsidRPr="008066CE">
        <w:rPr>
          <w:i/>
          <w:iCs/>
          <w:sz w:val="22"/>
          <w:szCs w:val="22"/>
          <w:lang w:val="en-GB"/>
        </w:rPr>
        <w:t>.</w:t>
      </w:r>
      <w:r>
        <w:rPr>
          <w:sz w:val="22"/>
          <w:szCs w:val="22"/>
          <w:lang w:val="en-GB"/>
        </w:rPr>
        <w:t>”</w:t>
      </w:r>
    </w:p>
    <w:p w:rsidRPr="00A9094E" w:rsidR="00961819" w:rsidP="00961819" w:rsidRDefault="00961819" w14:paraId="64BE7D6E" w14:textId="77777777">
      <w:pPr>
        <w:jc w:val="both"/>
        <w:rPr>
          <w:i/>
          <w:iCs/>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Pr="006B457D" w:rsidR="00961819" w:rsidTr="00030775" w14:paraId="06784270" w14:textId="77777777">
        <w:trPr>
          <w:trHeight w:val="300"/>
        </w:trPr>
        <w:tc>
          <w:tcPr>
            <w:tcW w:w="2559" w:type="dxa"/>
            <w:tcBorders>
              <w:top w:val="single" w:color="auto" w:sz="4" w:space="0"/>
              <w:left w:val="single" w:color="auto" w:sz="4" w:space="0"/>
              <w:bottom w:val="single" w:color="auto" w:sz="4" w:space="0"/>
              <w:right w:val="single" w:color="auto" w:sz="4" w:space="0"/>
            </w:tcBorders>
            <w:noWrap/>
            <w:vAlign w:val="bottom"/>
            <w:hideMark/>
          </w:tcPr>
          <w:p w:rsidRPr="008C10B6" w:rsidR="00961819" w:rsidP="00030775" w:rsidRDefault="00961819" w14:paraId="7ADEDE31" w14:textId="77777777">
            <w:pPr>
              <w:jc w:val="both"/>
              <w:rPr>
                <w:b/>
                <w:bCs/>
                <w:color w:val="000000"/>
                <w:sz w:val="22"/>
                <w:szCs w:val="22"/>
                <w:lang w:val="en-GB"/>
              </w:rPr>
            </w:pPr>
            <w:r w:rsidRPr="008C10B6">
              <w:rPr>
                <w:b/>
                <w:bCs/>
                <w:color w:val="000000"/>
                <w:sz w:val="22"/>
                <w:szCs w:val="22"/>
                <w:lang w:val="en-GB"/>
              </w:rPr>
              <w:t> FOR</w:t>
            </w:r>
          </w:p>
        </w:tc>
        <w:tc>
          <w:tcPr>
            <w:tcW w:w="2815" w:type="dxa"/>
            <w:tcBorders>
              <w:top w:val="single" w:color="auto" w:sz="4" w:space="0"/>
              <w:left w:val="nil"/>
              <w:bottom w:val="single" w:color="auto" w:sz="4" w:space="0"/>
              <w:right w:val="single" w:color="auto" w:sz="4" w:space="0"/>
            </w:tcBorders>
            <w:noWrap/>
            <w:vAlign w:val="bottom"/>
            <w:hideMark/>
          </w:tcPr>
          <w:p w:rsidRPr="008C10B6" w:rsidR="00961819" w:rsidP="00030775" w:rsidRDefault="00961819" w14:paraId="52FEF9F5" w14:textId="77777777">
            <w:pPr>
              <w:jc w:val="both"/>
              <w:rPr>
                <w:b/>
                <w:bCs/>
                <w:color w:val="000000"/>
                <w:sz w:val="22"/>
                <w:szCs w:val="22"/>
                <w:lang w:val="en-GB"/>
              </w:rPr>
            </w:pPr>
            <w:r w:rsidRPr="008C10B6">
              <w:rPr>
                <w:b/>
                <w:bCs/>
                <w:color w:val="000000"/>
                <w:sz w:val="22"/>
                <w:szCs w:val="22"/>
                <w:lang w:val="en-GB"/>
              </w:rPr>
              <w:t>AGAINST</w:t>
            </w:r>
          </w:p>
        </w:tc>
        <w:tc>
          <w:tcPr>
            <w:tcW w:w="3176" w:type="dxa"/>
            <w:tcBorders>
              <w:top w:val="single" w:color="auto" w:sz="4" w:space="0"/>
              <w:left w:val="nil"/>
              <w:bottom w:val="single" w:color="auto" w:sz="4" w:space="0"/>
              <w:right w:val="single" w:color="auto" w:sz="4" w:space="0"/>
            </w:tcBorders>
            <w:noWrap/>
            <w:vAlign w:val="bottom"/>
            <w:hideMark/>
          </w:tcPr>
          <w:p w:rsidRPr="008C10B6" w:rsidR="00961819" w:rsidP="00030775" w:rsidRDefault="00961819" w14:paraId="1AC80519" w14:textId="77777777">
            <w:pPr>
              <w:jc w:val="both"/>
              <w:rPr>
                <w:b/>
                <w:bCs/>
                <w:color w:val="000000"/>
                <w:sz w:val="22"/>
                <w:szCs w:val="22"/>
                <w:lang w:val="en-GB"/>
              </w:rPr>
            </w:pPr>
            <w:r w:rsidRPr="008C10B6">
              <w:rPr>
                <w:b/>
                <w:bCs/>
                <w:color w:val="000000"/>
                <w:sz w:val="22"/>
                <w:szCs w:val="22"/>
                <w:lang w:val="en-GB"/>
              </w:rPr>
              <w:t> ABSTENTION</w:t>
            </w:r>
          </w:p>
        </w:tc>
      </w:tr>
      <w:tr w:rsidRPr="006B457D" w:rsidR="00961819" w:rsidTr="00030775" w14:paraId="09A560FD" w14:textId="77777777">
        <w:trPr>
          <w:trHeight w:val="300"/>
        </w:trPr>
        <w:tc>
          <w:tcPr>
            <w:tcW w:w="2559" w:type="dxa"/>
            <w:tcBorders>
              <w:top w:val="nil"/>
              <w:left w:val="single" w:color="auto" w:sz="4" w:space="0"/>
              <w:bottom w:val="single" w:color="auto" w:sz="4" w:space="0"/>
              <w:right w:val="single" w:color="auto" w:sz="4" w:space="0"/>
            </w:tcBorders>
            <w:noWrap/>
            <w:vAlign w:val="bottom"/>
            <w:hideMark/>
          </w:tcPr>
          <w:p w:rsidRPr="008713B0" w:rsidR="00961819" w:rsidP="00030775" w:rsidRDefault="00961819" w14:paraId="4E99788F" w14:textId="77777777">
            <w:pPr>
              <w:jc w:val="both"/>
              <w:rPr>
                <w:color w:val="000000"/>
                <w:sz w:val="22"/>
                <w:szCs w:val="22"/>
                <w:lang w:val="en-GB"/>
              </w:rPr>
            </w:pPr>
          </w:p>
        </w:tc>
        <w:tc>
          <w:tcPr>
            <w:tcW w:w="2815" w:type="dxa"/>
            <w:tcBorders>
              <w:top w:val="nil"/>
              <w:left w:val="nil"/>
              <w:bottom w:val="single" w:color="auto" w:sz="4" w:space="0"/>
              <w:right w:val="single" w:color="auto" w:sz="4" w:space="0"/>
            </w:tcBorders>
            <w:noWrap/>
            <w:vAlign w:val="bottom"/>
            <w:hideMark/>
          </w:tcPr>
          <w:p w:rsidRPr="008713B0" w:rsidR="00961819" w:rsidP="00030775" w:rsidRDefault="00961819" w14:paraId="70B2F6CA" w14:textId="77777777">
            <w:pPr>
              <w:jc w:val="both"/>
              <w:rPr>
                <w:color w:val="000000"/>
                <w:sz w:val="22"/>
                <w:szCs w:val="22"/>
                <w:lang w:val="en-GB"/>
              </w:rPr>
            </w:pPr>
          </w:p>
        </w:tc>
        <w:tc>
          <w:tcPr>
            <w:tcW w:w="3176" w:type="dxa"/>
            <w:tcBorders>
              <w:top w:val="nil"/>
              <w:left w:val="nil"/>
              <w:bottom w:val="single" w:color="auto" w:sz="4" w:space="0"/>
              <w:right w:val="single" w:color="auto" w:sz="4" w:space="0"/>
            </w:tcBorders>
            <w:noWrap/>
            <w:vAlign w:val="bottom"/>
            <w:hideMark/>
          </w:tcPr>
          <w:p w:rsidRPr="008713B0" w:rsidR="00961819" w:rsidP="00030775" w:rsidRDefault="00961819" w14:paraId="1CB2925B" w14:textId="77777777">
            <w:pPr>
              <w:jc w:val="both"/>
              <w:rPr>
                <w:color w:val="000000"/>
                <w:sz w:val="22"/>
                <w:szCs w:val="22"/>
                <w:lang w:val="en-GB"/>
              </w:rPr>
            </w:pPr>
          </w:p>
        </w:tc>
      </w:tr>
    </w:tbl>
    <w:p w:rsidR="00961819" w:rsidP="00961819" w:rsidRDefault="00961819" w14:paraId="288678AB" w14:textId="77777777">
      <w:pPr>
        <w:ind w:left="450"/>
        <w:jc w:val="both"/>
        <w:rPr>
          <w:i/>
          <w:sz w:val="22"/>
          <w:szCs w:val="22"/>
          <w:lang w:val="en-GB" w:eastAsia="ro-RO"/>
        </w:rPr>
      </w:pPr>
    </w:p>
    <w:p w:rsidRPr="00A9094E" w:rsidR="00961819" w:rsidP="00961819" w:rsidRDefault="00961819" w14:paraId="49CFF8C9" w14:textId="77777777">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rsidRPr="00505236" w:rsidR="00961819" w:rsidP="00961819" w:rsidRDefault="00961819" w14:paraId="4A88077E" w14:textId="77777777">
      <w:pPr>
        <w:jc w:val="both"/>
        <w:rPr>
          <w:sz w:val="22"/>
          <w:szCs w:val="22"/>
          <w:lang w:val="en-GB"/>
        </w:rPr>
      </w:pPr>
    </w:p>
    <w:p w:rsidRPr="00237192" w:rsidR="006143F5" w:rsidP="006143F5" w:rsidRDefault="006143F5" w14:paraId="0512AA18" w14:textId="76A31C9D">
      <w:pPr>
        <w:jc w:val="both"/>
        <w:rPr>
          <w:sz w:val="22"/>
          <w:szCs w:val="22"/>
          <w:lang w:val="en-GB" w:eastAsia="ro-RO"/>
        </w:rPr>
      </w:pPr>
      <w:r w:rsidRPr="00237192">
        <w:rPr>
          <w:sz w:val="22"/>
          <w:szCs w:val="22"/>
          <w:lang w:val="en-GB" w:eastAsia="ro-RO"/>
        </w:rPr>
        <w:t>This special power of attorney:</w:t>
      </w:r>
    </w:p>
    <w:p w:rsidRPr="00237192" w:rsidR="006143F5" w:rsidP="006143F5" w:rsidRDefault="006143F5" w14:paraId="38141580" w14:textId="77777777">
      <w:pPr>
        <w:jc w:val="both"/>
        <w:rPr>
          <w:sz w:val="22"/>
          <w:szCs w:val="22"/>
          <w:lang w:val="en-GB" w:eastAsia="ro-RO"/>
        </w:rPr>
      </w:pPr>
    </w:p>
    <w:p w:rsidRPr="00237192" w:rsidR="006143F5" w:rsidP="006143F5" w:rsidRDefault="006143F5" w14:paraId="7589A939" w14:textId="0D98D856">
      <w:pPr>
        <w:numPr>
          <w:ilvl w:val="0"/>
          <w:numId w:val="1"/>
        </w:numPr>
        <w:jc w:val="both"/>
        <w:rPr>
          <w:sz w:val="22"/>
          <w:szCs w:val="22"/>
          <w:lang w:val="en-GB" w:eastAsia="ro-RO"/>
        </w:rPr>
      </w:pPr>
      <w:r w:rsidRPr="00237192">
        <w:rPr>
          <w:sz w:val="22"/>
          <w:szCs w:val="22"/>
          <w:lang w:val="en-GB" w:eastAsia="ro-RO"/>
        </w:rPr>
        <w:t xml:space="preserve">is valid only for the </w:t>
      </w:r>
      <w:r w:rsidRPr="00237192" w:rsidR="00237192">
        <w:rPr>
          <w:sz w:val="22"/>
          <w:szCs w:val="22"/>
          <w:lang w:val="en-GB" w:eastAsia="ro-RO"/>
        </w:rPr>
        <w:t>OGMS</w:t>
      </w:r>
      <w:r w:rsidRPr="00237192">
        <w:rPr>
          <w:sz w:val="22"/>
          <w:szCs w:val="22"/>
          <w:lang w:val="en-GB" w:eastAsia="ro-RO"/>
        </w:rPr>
        <w:t xml:space="preserve"> it was </w:t>
      </w:r>
      <w:r w:rsidRPr="00237192" w:rsidR="004E1521">
        <w:rPr>
          <w:sz w:val="22"/>
          <w:szCs w:val="22"/>
          <w:lang w:val="en-GB" w:eastAsia="ro-RO"/>
        </w:rPr>
        <w:t xml:space="preserve">issued </w:t>
      </w:r>
      <w:r w:rsidRPr="00237192">
        <w:rPr>
          <w:sz w:val="22"/>
          <w:szCs w:val="22"/>
          <w:lang w:val="en-GB" w:eastAsia="ro-RO"/>
        </w:rPr>
        <w:t xml:space="preserve">for, and the representative has the obligation to vote in accordance with the instructions given by the appointing shareholder under the sanction of cancellation of the vote by the </w:t>
      </w:r>
      <w:r w:rsidRPr="00237192" w:rsidR="00237192">
        <w:rPr>
          <w:sz w:val="22"/>
          <w:szCs w:val="22"/>
          <w:lang w:val="en-GB" w:eastAsia="ro-RO"/>
        </w:rPr>
        <w:t>OGMS</w:t>
      </w:r>
      <w:r w:rsidRPr="00237192">
        <w:rPr>
          <w:sz w:val="22"/>
          <w:szCs w:val="22"/>
          <w:lang w:val="en-GB" w:eastAsia="ro-RO"/>
        </w:rPr>
        <w:t xml:space="preserve"> secretaries;</w:t>
      </w:r>
    </w:p>
    <w:p w:rsidRPr="00237192" w:rsidR="006143F5" w:rsidP="006143F5" w:rsidRDefault="006143F5" w14:paraId="3D2DF06F" w14:textId="77777777">
      <w:pPr>
        <w:ind w:left="360"/>
        <w:jc w:val="both"/>
        <w:rPr>
          <w:sz w:val="22"/>
          <w:szCs w:val="22"/>
          <w:lang w:val="en-GB" w:eastAsia="ro-RO"/>
        </w:rPr>
      </w:pPr>
    </w:p>
    <w:p w:rsidRPr="00237192" w:rsidR="006143F5" w:rsidP="006143F5" w:rsidRDefault="006143F5" w14:paraId="58CE94CA" w14:textId="65629C20">
      <w:pPr>
        <w:numPr>
          <w:ilvl w:val="0"/>
          <w:numId w:val="1"/>
        </w:numPr>
        <w:jc w:val="both"/>
        <w:rPr>
          <w:sz w:val="22"/>
          <w:szCs w:val="22"/>
          <w:lang w:val="en-GB"/>
        </w:rPr>
      </w:pPr>
      <w:r w:rsidRPr="00237192">
        <w:rPr>
          <w:b/>
          <w:bCs/>
          <w:sz w:val="22"/>
          <w:szCs w:val="22"/>
          <w:lang w:val="en-GB"/>
        </w:rPr>
        <w:t xml:space="preserve">the deadline for </w:t>
      </w:r>
      <w:r w:rsidRPr="00237192">
        <w:rPr>
          <w:b/>
          <w:bCs/>
          <w:sz w:val="22"/>
          <w:szCs w:val="22"/>
          <w:lang w:val="en-GB" w:eastAsia="ro-RO"/>
        </w:rPr>
        <w:t>registering</w:t>
      </w:r>
      <w:r w:rsidRPr="00237192" w:rsidDel="00876EEA">
        <w:rPr>
          <w:b/>
          <w:bCs/>
          <w:sz w:val="22"/>
          <w:szCs w:val="22"/>
          <w:lang w:val="en-GB" w:eastAsia="ro-RO"/>
        </w:rPr>
        <w:t xml:space="preserve"> </w:t>
      </w:r>
      <w:r w:rsidRPr="00237192">
        <w:rPr>
          <w:b/>
          <w:bCs/>
          <w:sz w:val="22"/>
          <w:szCs w:val="22"/>
          <w:lang w:val="en-GB" w:eastAsia="ro-RO"/>
        </w:rPr>
        <w:t xml:space="preserve">the special power of attorney </w:t>
      </w:r>
      <w:r w:rsidRPr="00237192" w:rsidR="004E1521">
        <w:rPr>
          <w:b/>
          <w:bCs/>
          <w:sz w:val="22"/>
          <w:szCs w:val="22"/>
          <w:lang w:val="en-GB" w:eastAsia="ro-RO"/>
        </w:rPr>
        <w:t>with</w:t>
      </w:r>
      <w:r w:rsidRPr="00237192">
        <w:rPr>
          <w:b/>
          <w:bCs/>
          <w:sz w:val="22"/>
          <w:szCs w:val="22"/>
          <w:lang w:val="en-GB" w:eastAsia="ro-RO"/>
        </w:rPr>
        <w:t xml:space="preserve"> the Company is </w:t>
      </w:r>
      <w:r w:rsidR="007E5EF4">
        <w:rPr>
          <w:b/>
          <w:bCs/>
          <w:sz w:val="22"/>
          <w:szCs w:val="22"/>
          <w:lang w:val="en-GB"/>
        </w:rPr>
        <w:t xml:space="preserve">18 November </w:t>
      </w:r>
      <w:r w:rsidR="00241859">
        <w:rPr>
          <w:b/>
          <w:bCs/>
          <w:sz w:val="22"/>
          <w:szCs w:val="22"/>
          <w:lang w:val="en-GB"/>
        </w:rPr>
        <w:t>2025,</w:t>
      </w:r>
      <w:r w:rsidRPr="00237192" w:rsidR="00314598">
        <w:rPr>
          <w:b/>
          <w:bCs/>
          <w:sz w:val="22"/>
          <w:szCs w:val="22"/>
          <w:lang w:val="en-GB"/>
        </w:rPr>
        <w:t xml:space="preserve"> 1</w:t>
      </w:r>
      <w:r w:rsidR="00466B03">
        <w:rPr>
          <w:b/>
          <w:bCs/>
          <w:sz w:val="22"/>
          <w:szCs w:val="22"/>
          <w:lang w:val="en-GB"/>
        </w:rPr>
        <w:t>2</w:t>
      </w:r>
      <w:r w:rsidRPr="00237192" w:rsidR="00314598">
        <w:rPr>
          <w:b/>
          <w:bCs/>
          <w:sz w:val="22"/>
          <w:szCs w:val="22"/>
          <w:lang w:val="en-GB"/>
        </w:rPr>
        <w:t xml:space="preserve">:00 </w:t>
      </w:r>
      <w:r w:rsidR="00466B03">
        <w:rPr>
          <w:b/>
          <w:sz w:val="22"/>
          <w:szCs w:val="22"/>
          <w:lang w:val="en-GB"/>
        </w:rPr>
        <w:t>P</w:t>
      </w:r>
      <w:r w:rsidRPr="00237192" w:rsidR="00314598">
        <w:rPr>
          <w:b/>
          <w:sz w:val="22"/>
          <w:szCs w:val="22"/>
          <w:lang w:val="en-GB"/>
        </w:rPr>
        <w:t>M</w:t>
      </w:r>
      <w:r w:rsidRPr="00237192" w:rsidR="00314598">
        <w:rPr>
          <w:b/>
          <w:bCs/>
          <w:sz w:val="22"/>
          <w:szCs w:val="22"/>
          <w:lang w:val="en-GB"/>
        </w:rPr>
        <w:t xml:space="preserve"> </w:t>
      </w:r>
      <w:r w:rsidRPr="00237192" w:rsidR="001B3039">
        <w:rPr>
          <w:b/>
          <w:bCs/>
          <w:sz w:val="22"/>
          <w:szCs w:val="22"/>
          <w:lang w:val="en-GB"/>
        </w:rPr>
        <w:t>(Romanian time);</w:t>
      </w:r>
    </w:p>
    <w:p w:rsidRPr="00237192" w:rsidR="001B3039" w:rsidP="001B3039" w:rsidRDefault="001B3039" w14:paraId="10C92F31" w14:textId="77777777">
      <w:pPr>
        <w:pStyle w:val="ListParagraph"/>
        <w:rPr>
          <w:sz w:val="22"/>
          <w:szCs w:val="22"/>
          <w:lang w:val="en-GB"/>
        </w:rPr>
      </w:pPr>
    </w:p>
    <w:p w:rsidRPr="00237192" w:rsidR="006143F5" w:rsidP="006143F5" w:rsidRDefault="006143F5" w14:paraId="082EF85B" w14:textId="4D422ED4">
      <w:pPr>
        <w:numPr>
          <w:ilvl w:val="0"/>
          <w:numId w:val="1"/>
        </w:numPr>
        <w:jc w:val="both"/>
        <w:rPr>
          <w:sz w:val="22"/>
          <w:szCs w:val="22"/>
          <w:lang w:val="en-GB" w:eastAsia="ro-RO"/>
        </w:rPr>
      </w:pPr>
      <w:r w:rsidRPr="00237192">
        <w:rPr>
          <w:sz w:val="22"/>
          <w:szCs w:val="22"/>
          <w:lang w:val="en-GB" w:eastAsia="ro-RO"/>
        </w:rPr>
        <w:t xml:space="preserve">is </w:t>
      </w:r>
      <w:r w:rsidRPr="00237192" w:rsidR="004E1521">
        <w:rPr>
          <w:sz w:val="22"/>
          <w:szCs w:val="22"/>
          <w:lang w:val="en-GB" w:eastAsia="ro-RO"/>
        </w:rPr>
        <w:t xml:space="preserve">executed </w:t>
      </w:r>
      <w:r w:rsidRPr="00237192">
        <w:rPr>
          <w:sz w:val="22"/>
          <w:szCs w:val="22"/>
          <w:lang w:val="en-GB" w:eastAsia="ro-RO"/>
        </w:rPr>
        <w:t>in 3 originals: one original is for the principal</w:t>
      </w:r>
      <w:r w:rsidRPr="00237192" w:rsidR="001E6D36">
        <w:rPr>
          <w:sz w:val="22"/>
          <w:szCs w:val="22"/>
          <w:lang w:val="en-GB" w:eastAsia="ro-RO"/>
        </w:rPr>
        <w:t xml:space="preserve"> shareholder</w:t>
      </w:r>
      <w:r w:rsidRPr="00237192">
        <w:rPr>
          <w:sz w:val="22"/>
          <w:szCs w:val="22"/>
          <w:lang w:val="en-GB" w:eastAsia="ro-RO"/>
        </w:rPr>
        <w:t>, one original is for the empowered person and one original will be submitted</w:t>
      </w:r>
      <w:r w:rsidRPr="00237192" w:rsidDel="00876EEA">
        <w:rPr>
          <w:sz w:val="22"/>
          <w:szCs w:val="22"/>
          <w:lang w:val="en-GB" w:eastAsia="ro-RO"/>
        </w:rPr>
        <w:t xml:space="preserve"> </w:t>
      </w:r>
      <w:r w:rsidRPr="00237192">
        <w:rPr>
          <w:sz w:val="22"/>
          <w:szCs w:val="22"/>
          <w:lang w:val="en-GB" w:eastAsia="ro-RO"/>
        </w:rPr>
        <w:t>to the Company’s headquarters</w:t>
      </w:r>
      <w:r w:rsidRPr="00237192" w:rsidR="004E1521">
        <w:rPr>
          <w:sz w:val="22"/>
          <w:szCs w:val="22"/>
          <w:lang w:val="en-GB" w:eastAsia="ro-RO"/>
        </w:rPr>
        <w:t xml:space="preserve"> </w:t>
      </w:r>
      <w:r w:rsidR="003B4690">
        <w:rPr>
          <w:sz w:val="22"/>
          <w:szCs w:val="22"/>
          <w:lang w:val="en-GB" w:eastAsia="ro-RO"/>
        </w:rPr>
        <w:t xml:space="preserve">or </w:t>
      </w:r>
      <w:r w:rsidRPr="004712D9" w:rsidR="003B4690">
        <w:rPr>
          <w:sz w:val="22"/>
          <w:szCs w:val="22"/>
          <w:lang w:val="en-GB" w:eastAsia="ro-RO"/>
        </w:rPr>
        <w:t>is sent by e-mail</w:t>
      </w:r>
      <w:r w:rsidR="00766E5A">
        <w:rPr>
          <w:sz w:val="22"/>
          <w:szCs w:val="22"/>
          <w:lang w:val="en-GB" w:eastAsia="ro-RO"/>
        </w:rPr>
        <w:t xml:space="preserve">, </w:t>
      </w:r>
      <w:r w:rsidRPr="005E1B34" w:rsidR="003B4690">
        <w:rPr>
          <w:rFonts w:cs="Arial"/>
          <w:sz w:val="22"/>
          <w:szCs w:val="22"/>
          <w:lang w:val="en-GB"/>
        </w:rPr>
        <w:t>with qualified electronic signature as per Law no. 214/2024</w:t>
      </w:r>
      <w:r w:rsidR="00AD0F23">
        <w:rPr>
          <w:rFonts w:cs="Arial"/>
          <w:sz w:val="22"/>
          <w:szCs w:val="22"/>
          <w:lang w:val="en-GB"/>
        </w:rPr>
        <w:t xml:space="preserve"> </w:t>
      </w:r>
      <w:r w:rsidRPr="00AD0F23" w:rsidR="00AD0F23">
        <w:rPr>
          <w:rFonts w:cs="Arial"/>
          <w:sz w:val="22"/>
          <w:szCs w:val="22"/>
          <w:lang w:val="en-GB"/>
        </w:rPr>
        <w:t xml:space="preserve">on </w:t>
      </w:r>
      <w:r w:rsidRPr="00AD0F23" w:rsidR="00AD0F23">
        <w:rPr>
          <w:rFonts w:cs="Arial"/>
          <w:sz w:val="22"/>
          <w:szCs w:val="22"/>
        </w:rPr>
        <w:t>the use of electronic signatures, timestamps, and trust services based on them</w:t>
      </w:r>
      <w:r w:rsidR="003B4690">
        <w:rPr>
          <w:rFonts w:cs="Arial"/>
          <w:sz w:val="22"/>
          <w:szCs w:val="22"/>
          <w:lang w:val="en-GB"/>
        </w:rPr>
        <w:t>,</w:t>
      </w:r>
      <w:r w:rsidR="003B4690">
        <w:rPr>
          <w:sz w:val="22"/>
          <w:szCs w:val="22"/>
          <w:lang w:val="en-GB" w:eastAsia="ro-RO"/>
        </w:rPr>
        <w:t xml:space="preserve"> </w:t>
      </w:r>
      <w:r w:rsidRPr="004712D9" w:rsidR="003B4690">
        <w:rPr>
          <w:sz w:val="22"/>
          <w:szCs w:val="22"/>
          <w:lang w:val="en-GB" w:eastAsia="ro-RO"/>
        </w:rPr>
        <w:t>to agafp@fondulproprietatea.ro</w:t>
      </w:r>
      <w:r w:rsidRPr="00237192">
        <w:rPr>
          <w:sz w:val="22"/>
          <w:szCs w:val="22"/>
          <w:lang w:val="en-GB" w:eastAsia="ro-RO"/>
        </w:rPr>
        <w:t>;</w:t>
      </w:r>
    </w:p>
    <w:p w:rsidRPr="00237192" w:rsidR="006143F5" w:rsidP="006143F5" w:rsidRDefault="006143F5" w14:paraId="0CFA6EEA" w14:textId="77777777">
      <w:pPr>
        <w:jc w:val="both"/>
        <w:rPr>
          <w:sz w:val="22"/>
          <w:szCs w:val="22"/>
          <w:lang w:val="en-GB" w:eastAsia="ro-RO"/>
        </w:rPr>
      </w:pPr>
    </w:p>
    <w:p w:rsidRPr="00237192" w:rsidR="006143F5" w:rsidP="006143F5" w:rsidRDefault="006143F5" w14:paraId="7E7DAECB" w14:textId="77777777">
      <w:pPr>
        <w:numPr>
          <w:ilvl w:val="0"/>
          <w:numId w:val="1"/>
        </w:numPr>
        <w:jc w:val="both"/>
        <w:rPr>
          <w:sz w:val="22"/>
          <w:szCs w:val="22"/>
          <w:lang w:val="en-GB" w:eastAsia="ro-RO"/>
        </w:rPr>
      </w:pPr>
      <w:r w:rsidRPr="00237192">
        <w:rPr>
          <w:sz w:val="22"/>
          <w:szCs w:val="22"/>
          <w:lang w:val="en-GB" w:eastAsia="ro-RO"/>
        </w:rPr>
        <w:t xml:space="preserve">shall be signed and dated by the principal shareholder; </w:t>
      </w:r>
    </w:p>
    <w:p w:rsidRPr="00237192" w:rsidR="006143F5" w:rsidP="006143F5" w:rsidRDefault="006143F5" w14:paraId="36A78CE5" w14:textId="77777777">
      <w:pPr>
        <w:ind w:left="360"/>
        <w:jc w:val="both"/>
        <w:rPr>
          <w:sz w:val="22"/>
          <w:szCs w:val="22"/>
          <w:lang w:val="en-GB" w:eastAsia="ro-RO"/>
        </w:rPr>
      </w:pPr>
    </w:p>
    <w:p w:rsidRPr="00237192" w:rsidR="006143F5" w:rsidP="006143F5" w:rsidRDefault="006143F5" w14:paraId="54D4FD70" w14:textId="77777777">
      <w:pPr>
        <w:numPr>
          <w:ilvl w:val="0"/>
          <w:numId w:val="1"/>
        </w:numPr>
        <w:jc w:val="both"/>
        <w:rPr>
          <w:sz w:val="22"/>
          <w:szCs w:val="22"/>
          <w:lang w:val="en-GB" w:eastAsia="ro-RO"/>
        </w:rPr>
      </w:pPr>
      <w:r w:rsidRPr="00237192">
        <w:rPr>
          <w:sz w:val="22"/>
          <w:szCs w:val="22"/>
          <w:lang w:val="en-GB" w:eastAsia="ro-RO"/>
        </w:rPr>
        <w:t>all the sections shall be filled in by the principal shareholder;</w:t>
      </w:r>
    </w:p>
    <w:p w:rsidRPr="00237192" w:rsidR="006143F5" w:rsidP="006143F5" w:rsidRDefault="006143F5" w14:paraId="0A0BA023" w14:textId="77777777">
      <w:pPr>
        <w:pStyle w:val="ListParagraph"/>
        <w:rPr>
          <w:sz w:val="22"/>
          <w:szCs w:val="22"/>
          <w:lang w:val="en-GB" w:eastAsia="ro-RO"/>
        </w:rPr>
      </w:pPr>
    </w:p>
    <w:p w:rsidRPr="00237192" w:rsidR="00E33522" w:rsidP="006143F5" w:rsidRDefault="006143F5" w14:paraId="095A8C71" w14:textId="7A25EBB0">
      <w:pPr>
        <w:numPr>
          <w:ilvl w:val="0"/>
          <w:numId w:val="1"/>
        </w:numPr>
        <w:jc w:val="both"/>
        <w:rPr>
          <w:sz w:val="22"/>
          <w:szCs w:val="22"/>
          <w:lang w:val="en-GB" w:eastAsia="ro-RO"/>
        </w:rPr>
      </w:pPr>
      <w:r w:rsidRPr="00237192">
        <w:rPr>
          <w:sz w:val="22"/>
          <w:szCs w:val="22"/>
          <w:lang w:val="en-GB" w:eastAsia="ro-RO"/>
        </w:rPr>
        <w:t>contains information according to the Constitutive Act of the Company, Law no. 31/1990</w:t>
      </w:r>
      <w:r w:rsidRPr="00237192" w:rsidR="00956E91">
        <w:rPr>
          <w:sz w:val="22"/>
          <w:szCs w:val="22"/>
        </w:rPr>
        <w:t xml:space="preserve"> </w:t>
      </w:r>
      <w:r w:rsidRPr="00237192" w:rsidR="00956E91">
        <w:rPr>
          <w:sz w:val="22"/>
          <w:szCs w:val="22"/>
          <w:lang w:val="en-GB" w:eastAsia="ro-RO"/>
        </w:rPr>
        <w:t>on companies, republished, as amended and supplemented</w:t>
      </w:r>
      <w:r w:rsidRPr="00237192">
        <w:rPr>
          <w:sz w:val="22"/>
          <w:szCs w:val="22"/>
          <w:lang w:val="en-GB" w:eastAsia="ro-RO"/>
        </w:rPr>
        <w:t>, Law no. 24/2017</w:t>
      </w:r>
      <w:r w:rsidRPr="00237192" w:rsidR="00956E91">
        <w:rPr>
          <w:sz w:val="22"/>
          <w:szCs w:val="22"/>
        </w:rPr>
        <w:t xml:space="preserve"> </w:t>
      </w:r>
      <w:r w:rsidRPr="00237192" w:rsidR="00956E91">
        <w:rPr>
          <w:sz w:val="22"/>
          <w:szCs w:val="22"/>
          <w:lang w:val="en-GB" w:eastAsia="ro-RO"/>
        </w:rPr>
        <w:t>on issuers of financial instruments and market operations, republished, as supplemented and amended (“</w:t>
      </w:r>
      <w:r w:rsidRPr="00237192" w:rsidR="00956E91">
        <w:rPr>
          <w:b/>
          <w:bCs/>
          <w:sz w:val="22"/>
          <w:szCs w:val="22"/>
          <w:lang w:val="en-GB" w:eastAsia="ro-RO"/>
        </w:rPr>
        <w:t>Issuers’ Law</w:t>
      </w:r>
      <w:r w:rsidRPr="00237192" w:rsidR="00956E91">
        <w:rPr>
          <w:sz w:val="22"/>
          <w:szCs w:val="22"/>
          <w:lang w:val="en-GB" w:eastAsia="ro-RO"/>
        </w:rPr>
        <w:t>”)</w:t>
      </w:r>
      <w:r w:rsidRPr="00237192">
        <w:rPr>
          <w:sz w:val="22"/>
          <w:szCs w:val="22"/>
          <w:lang w:val="en-GB" w:eastAsia="ro-RO"/>
        </w:rPr>
        <w:t xml:space="preserve"> and FSA Regulation no. 5/2018</w:t>
      </w:r>
      <w:r w:rsidRPr="00237192" w:rsidR="00956E91">
        <w:rPr>
          <w:sz w:val="22"/>
          <w:szCs w:val="22"/>
        </w:rPr>
        <w:t xml:space="preserve"> </w:t>
      </w:r>
      <w:r w:rsidRPr="00237192" w:rsidR="00956E91">
        <w:rPr>
          <w:sz w:val="22"/>
          <w:szCs w:val="22"/>
          <w:lang w:val="en-GB" w:eastAsia="ro-RO"/>
        </w:rPr>
        <w:t>on issuers of financial instruments and market operations</w:t>
      </w:r>
      <w:r w:rsidRPr="00237192" w:rsidR="00E33522">
        <w:rPr>
          <w:sz w:val="22"/>
          <w:szCs w:val="22"/>
          <w:lang w:val="en-GB" w:eastAsia="ro-RO"/>
        </w:rPr>
        <w:t>;</w:t>
      </w:r>
    </w:p>
    <w:p w:rsidRPr="00237192" w:rsidR="00E33522" w:rsidP="00E33522" w:rsidRDefault="00E33522" w14:paraId="71CA918E" w14:textId="77777777">
      <w:pPr>
        <w:pStyle w:val="ListParagraph"/>
        <w:rPr>
          <w:sz w:val="22"/>
          <w:szCs w:val="22"/>
          <w:lang w:val="en-GB" w:eastAsia="ro-RO"/>
        </w:rPr>
      </w:pPr>
    </w:p>
    <w:p w:rsidRPr="00237192" w:rsidR="00E33522" w:rsidP="00E33522" w:rsidRDefault="00E33522" w14:paraId="033EF1DF" w14:textId="37A2D9B0">
      <w:pPr>
        <w:pStyle w:val="ListParagraph"/>
        <w:numPr>
          <w:ilvl w:val="0"/>
          <w:numId w:val="1"/>
        </w:numPr>
        <w:autoSpaceDE w:val="0"/>
        <w:autoSpaceDN w:val="0"/>
        <w:adjustRightInd w:val="0"/>
        <w:jc w:val="both"/>
        <w:rPr>
          <w:sz w:val="22"/>
          <w:szCs w:val="22"/>
          <w:lang w:val="en-GB"/>
        </w:rPr>
      </w:pPr>
      <w:r w:rsidRPr="00237192">
        <w:rPr>
          <w:sz w:val="22"/>
          <w:szCs w:val="22"/>
          <w:lang w:val="en-GB"/>
        </w:rPr>
        <w:t xml:space="preserve">for </w:t>
      </w:r>
      <w:r w:rsidRPr="00237192" w:rsidR="00D359CF">
        <w:rPr>
          <w:sz w:val="22"/>
          <w:szCs w:val="22"/>
          <w:lang w:val="en-GB"/>
        </w:rPr>
        <w:t xml:space="preserve">powers of attorney </w:t>
      </w:r>
      <w:r w:rsidRPr="00237192">
        <w:rPr>
          <w:sz w:val="22"/>
          <w:szCs w:val="22"/>
          <w:lang w:val="en-GB"/>
        </w:rPr>
        <w:t>sent electronically, the Company will send the shareholder a confirmation of receipt of the votes, according to the provisions of article 9</w:t>
      </w:r>
      <w:r w:rsidRPr="00237192" w:rsidR="005C02D1">
        <w:rPr>
          <w:sz w:val="22"/>
          <w:szCs w:val="22"/>
          <w:lang w:val="en-GB"/>
        </w:rPr>
        <w:t>7</w:t>
      </w:r>
      <w:r w:rsidRPr="00237192">
        <w:rPr>
          <w:sz w:val="22"/>
          <w:szCs w:val="22"/>
          <w:vertAlign w:val="superscript"/>
          <w:lang w:val="en-GB"/>
        </w:rPr>
        <w:t xml:space="preserve"> </w:t>
      </w:r>
      <w:r w:rsidRPr="00237192">
        <w:rPr>
          <w:sz w:val="22"/>
          <w:szCs w:val="22"/>
          <w:lang w:val="en-GB"/>
        </w:rPr>
        <w:t>para. (2) of Issuers’ Law and of article 7 para. (1) of CE Regulation 1212/2018, in the format set out in Table 6 of Annex to the CE Regulation 1212/2018</w:t>
      </w:r>
      <w:r w:rsidRPr="00237192" w:rsidR="00D359CF">
        <w:rPr>
          <w:sz w:val="22"/>
          <w:szCs w:val="22"/>
          <w:lang w:val="en-GB"/>
        </w:rPr>
        <w:t>;</w:t>
      </w:r>
    </w:p>
    <w:p w:rsidRPr="00237192" w:rsidR="00E33522" w:rsidP="00E33522" w:rsidRDefault="00E33522" w14:paraId="20D1A01A" w14:textId="77777777">
      <w:pPr>
        <w:pStyle w:val="ListParagraph"/>
        <w:autoSpaceDE w:val="0"/>
        <w:autoSpaceDN w:val="0"/>
        <w:adjustRightInd w:val="0"/>
        <w:ind w:left="360"/>
        <w:jc w:val="both"/>
        <w:rPr>
          <w:sz w:val="22"/>
          <w:szCs w:val="22"/>
          <w:lang w:val="en-GB"/>
        </w:rPr>
      </w:pPr>
    </w:p>
    <w:p w:rsidRPr="00237192" w:rsidR="00E33522" w:rsidP="00E33522" w:rsidRDefault="00D359CF" w14:paraId="24F7BFBE" w14:textId="6A1DB270">
      <w:pPr>
        <w:pStyle w:val="ListParagraph"/>
        <w:numPr>
          <w:ilvl w:val="0"/>
          <w:numId w:val="1"/>
        </w:numPr>
        <w:autoSpaceDE w:val="0"/>
        <w:autoSpaceDN w:val="0"/>
        <w:adjustRightInd w:val="0"/>
        <w:jc w:val="both"/>
        <w:rPr>
          <w:sz w:val="22"/>
          <w:szCs w:val="22"/>
          <w:lang w:val="en-GB"/>
        </w:rPr>
      </w:pPr>
      <w:r w:rsidRPr="00237192">
        <w:rPr>
          <w:sz w:val="22"/>
          <w:szCs w:val="22"/>
          <w:lang w:val="en-GB"/>
        </w:rPr>
        <w:t>a</w:t>
      </w:r>
      <w:r w:rsidRPr="00237192" w:rsidR="00E33522">
        <w:rPr>
          <w:sz w:val="22"/>
          <w:szCs w:val="22"/>
          <w:lang w:val="en-GB"/>
        </w:rPr>
        <w:t xml:space="preserve">fter the </w:t>
      </w:r>
      <w:r w:rsidRPr="00237192" w:rsidR="00237192">
        <w:rPr>
          <w:sz w:val="22"/>
          <w:szCs w:val="22"/>
          <w:lang w:val="en-GB"/>
        </w:rPr>
        <w:t>OGMS</w:t>
      </w:r>
      <w:r w:rsidRPr="00237192" w:rsidR="00E33522">
        <w:rPr>
          <w:sz w:val="22"/>
          <w:szCs w:val="22"/>
          <w:lang w:val="en-GB"/>
        </w:rPr>
        <w:t xml:space="preserve">, the shareholder of a third party appointed by the shareholder may obtain from the Company, at least upon request, a </w:t>
      </w:r>
      <w:r w:rsidRPr="00237192" w:rsidR="00E33522">
        <w:rPr>
          <w:sz w:val="22"/>
          <w:szCs w:val="22"/>
        </w:rPr>
        <w:t xml:space="preserve">confirmation of </w:t>
      </w:r>
      <w:r w:rsidRPr="00237192" w:rsidR="00E33522">
        <w:rPr>
          <w:sz w:val="22"/>
          <w:szCs w:val="22"/>
          <w:lang w:val="en-GB"/>
        </w:rPr>
        <w:t>recording</w:t>
      </w:r>
      <w:r w:rsidRPr="00237192" w:rsidR="00E33522">
        <w:rPr>
          <w:sz w:val="22"/>
          <w:szCs w:val="22"/>
        </w:rPr>
        <w:t xml:space="preserve"> and counting of votes by </w:t>
      </w:r>
      <w:r w:rsidRPr="00237192" w:rsidR="00E33522">
        <w:rPr>
          <w:sz w:val="22"/>
          <w:szCs w:val="22"/>
          <w:lang w:val="en-GB"/>
        </w:rPr>
        <w:t>the Company</w:t>
      </w:r>
      <w:r w:rsidRPr="00237192" w:rsidR="00E33522">
        <w:rPr>
          <w:sz w:val="22"/>
          <w:szCs w:val="22"/>
        </w:rPr>
        <w:t xml:space="preserve">. Such request of such a confirmation may be asked for within one month as of the voting date. In this case, </w:t>
      </w:r>
      <w:r w:rsidRPr="00237192" w:rsidR="00E33522">
        <w:rPr>
          <w:sz w:val="22"/>
          <w:szCs w:val="22"/>
          <w:lang w:val="en-GB"/>
        </w:rPr>
        <w:t>the Company</w:t>
      </w:r>
      <w:r w:rsidRPr="00237192" w:rsidR="00E33522">
        <w:rPr>
          <w:sz w:val="22"/>
          <w:szCs w:val="22"/>
        </w:rPr>
        <w:t xml:space="preserve"> will send the shareholder an electronic confirmation of recording and counting of votes, according to the provisions of article 9</w:t>
      </w:r>
      <w:r w:rsidRPr="00237192" w:rsidR="005C02D1">
        <w:rPr>
          <w:sz w:val="22"/>
          <w:szCs w:val="22"/>
        </w:rPr>
        <w:t>7</w:t>
      </w:r>
      <w:r w:rsidRPr="00237192" w:rsidR="00E33522">
        <w:rPr>
          <w:sz w:val="22"/>
          <w:szCs w:val="22"/>
        </w:rPr>
        <w:t xml:space="preserve"> para. (3) of Issuers’ Law</w:t>
      </w:r>
      <w:r w:rsidRPr="00237192" w:rsidR="00E33522">
        <w:rPr>
          <w:iCs/>
          <w:sz w:val="22"/>
          <w:szCs w:val="22"/>
          <w:lang w:val="en-GB"/>
        </w:rPr>
        <w:t xml:space="preserve"> and of article 7 para. (2) of CE Regulation 1212/2018</w:t>
      </w:r>
      <w:r w:rsidRPr="00237192" w:rsidR="00E33522">
        <w:rPr>
          <w:sz w:val="22"/>
          <w:szCs w:val="22"/>
        </w:rPr>
        <w:t>, in the format set out in Table 7 of Annex to the CE Regulation 1212/2018.</w:t>
      </w:r>
    </w:p>
    <w:p w:rsidRPr="00237192" w:rsidR="006143F5" w:rsidP="006143F5" w:rsidRDefault="006143F5" w14:paraId="714484CD" w14:textId="77777777">
      <w:pPr>
        <w:autoSpaceDE w:val="0"/>
        <w:autoSpaceDN w:val="0"/>
        <w:adjustRightInd w:val="0"/>
        <w:rPr>
          <w:sz w:val="22"/>
          <w:szCs w:val="22"/>
          <w:lang w:val="en-GB"/>
        </w:rPr>
      </w:pPr>
    </w:p>
    <w:p w:rsidRPr="00237192" w:rsidR="006143F5" w:rsidP="006143F5" w:rsidRDefault="006143F5" w14:paraId="6CA794FF" w14:textId="77777777">
      <w:pPr>
        <w:autoSpaceDE w:val="0"/>
        <w:autoSpaceDN w:val="0"/>
        <w:adjustRightInd w:val="0"/>
        <w:rPr>
          <w:sz w:val="22"/>
          <w:szCs w:val="22"/>
          <w:lang w:val="en-GB"/>
        </w:rPr>
      </w:pPr>
      <w:r w:rsidRPr="00237192">
        <w:rPr>
          <w:sz w:val="22"/>
          <w:szCs w:val="22"/>
          <w:lang w:val="en-GB"/>
        </w:rPr>
        <w:t>We attach to this special power of attorney:</w:t>
      </w:r>
    </w:p>
    <w:p w:rsidRPr="00237192" w:rsidR="006143F5" w:rsidP="006143F5" w:rsidRDefault="006143F5" w14:paraId="740BE375" w14:textId="77777777">
      <w:pPr>
        <w:autoSpaceDE w:val="0"/>
        <w:autoSpaceDN w:val="0"/>
        <w:adjustRightInd w:val="0"/>
        <w:rPr>
          <w:sz w:val="22"/>
          <w:szCs w:val="22"/>
          <w:lang w:val="en-GB"/>
        </w:rPr>
      </w:pPr>
    </w:p>
    <w:p w:rsidRPr="00237192" w:rsidR="006143F5" w:rsidP="006143F5" w:rsidRDefault="006143F5" w14:paraId="07220435" w14:textId="2CFD40FE">
      <w:pPr>
        <w:pStyle w:val="ListParagraph"/>
        <w:numPr>
          <w:ilvl w:val="0"/>
          <w:numId w:val="3"/>
        </w:numPr>
        <w:suppressAutoHyphens/>
        <w:ind w:left="360"/>
        <w:jc w:val="both"/>
        <w:rPr>
          <w:sz w:val="22"/>
          <w:szCs w:val="22"/>
          <w:lang w:val="en-GB"/>
        </w:rPr>
      </w:pPr>
      <w:r w:rsidRPr="00237192">
        <w:rPr>
          <w:sz w:val="22"/>
          <w:szCs w:val="22"/>
          <w:lang w:val="en-GB"/>
        </w:rPr>
        <w:t xml:space="preserve">original or true copy of the </w:t>
      </w:r>
      <w:r w:rsidRPr="00237192" w:rsidR="00956E91">
        <w:rPr>
          <w:sz w:val="22"/>
          <w:szCs w:val="22"/>
          <w:lang w:val="en-GB"/>
        </w:rPr>
        <w:t xml:space="preserve">up-to-date </w:t>
      </w:r>
      <w:r w:rsidRPr="00237192">
        <w:rPr>
          <w:sz w:val="22"/>
          <w:szCs w:val="22"/>
          <w:lang w:val="en-GB"/>
        </w:rPr>
        <w:t>findings certificate issued by the Trade Registry (in Romanian “</w:t>
      </w:r>
      <w:proofErr w:type="spellStart"/>
      <w:r w:rsidRPr="00237192">
        <w:rPr>
          <w:sz w:val="22"/>
          <w:szCs w:val="22"/>
          <w:lang w:val="en-GB"/>
        </w:rPr>
        <w:t>certificat</w:t>
      </w:r>
      <w:proofErr w:type="spellEnd"/>
      <w:r w:rsidRPr="00237192">
        <w:rPr>
          <w:sz w:val="22"/>
          <w:szCs w:val="22"/>
          <w:lang w:val="en-GB"/>
        </w:rPr>
        <w:t xml:space="preserve"> </w:t>
      </w:r>
      <w:proofErr w:type="spellStart"/>
      <w:r w:rsidRPr="00237192">
        <w:rPr>
          <w:sz w:val="22"/>
          <w:szCs w:val="22"/>
          <w:lang w:val="en-GB"/>
        </w:rPr>
        <w:t>constatator</w:t>
      </w:r>
      <w:proofErr w:type="spellEnd"/>
      <w:r w:rsidRPr="00237192">
        <w:rPr>
          <w:sz w:val="22"/>
          <w:szCs w:val="22"/>
          <w:lang w:val="en-GB"/>
        </w:rPr>
        <w:t xml:space="preserve">”) or any other document, in original or true copy, issued by a competent authority of the state where the </w:t>
      </w:r>
      <w:r w:rsidRPr="00237192" w:rsidR="00170CF2">
        <w:rPr>
          <w:sz w:val="22"/>
          <w:szCs w:val="22"/>
          <w:lang w:val="en-GB"/>
        </w:rPr>
        <w:t>principal shareholder</w:t>
      </w:r>
      <w:r w:rsidRPr="00237192">
        <w:rPr>
          <w:sz w:val="22"/>
          <w:szCs w:val="22"/>
          <w:lang w:val="en-GB"/>
        </w:rPr>
        <w:t xml:space="preserve"> is duly incorporated, all being no older than </w:t>
      </w:r>
      <w:r w:rsidRPr="00237192" w:rsidR="005F34BD">
        <w:rPr>
          <w:sz w:val="22"/>
          <w:szCs w:val="22"/>
          <w:lang w:val="en-GB"/>
        </w:rPr>
        <w:t>twelve (</w:t>
      </w:r>
      <w:r w:rsidRPr="00237192">
        <w:rPr>
          <w:sz w:val="22"/>
          <w:szCs w:val="22"/>
          <w:lang w:val="en-GB"/>
        </w:rPr>
        <w:t>12</w:t>
      </w:r>
      <w:r w:rsidRPr="00237192" w:rsidR="005F34BD">
        <w:rPr>
          <w:sz w:val="22"/>
          <w:szCs w:val="22"/>
          <w:lang w:val="en-GB"/>
        </w:rPr>
        <w:t>)</w:t>
      </w:r>
      <w:r w:rsidRPr="00237192">
        <w:rPr>
          <w:sz w:val="22"/>
          <w:szCs w:val="22"/>
          <w:lang w:val="en-GB"/>
        </w:rPr>
        <w:t xml:space="preserve"> months </w:t>
      </w:r>
      <w:r w:rsidRPr="00237192" w:rsidR="001E6D36">
        <w:rPr>
          <w:sz w:val="22"/>
          <w:szCs w:val="22"/>
          <w:lang w:val="en-GB"/>
        </w:rPr>
        <w:t xml:space="preserve">as from the date when the </w:t>
      </w:r>
      <w:r w:rsidRPr="00237192" w:rsidR="00237192">
        <w:rPr>
          <w:sz w:val="22"/>
          <w:szCs w:val="22"/>
          <w:lang w:val="en-GB"/>
        </w:rPr>
        <w:t>OGMS</w:t>
      </w:r>
      <w:r w:rsidRPr="00237192" w:rsidR="001E6D36">
        <w:rPr>
          <w:sz w:val="22"/>
          <w:szCs w:val="22"/>
          <w:lang w:val="en-GB"/>
        </w:rPr>
        <w:t xml:space="preserve"> convening notice was published</w:t>
      </w:r>
      <w:r w:rsidRPr="00237192" w:rsidR="005F34BD">
        <w:rPr>
          <w:sz w:val="22"/>
          <w:szCs w:val="22"/>
          <w:lang w:val="en-GB"/>
        </w:rPr>
        <w:t xml:space="preserve"> in the Official Gazette </w:t>
      </w:r>
      <w:r w:rsidRPr="00237192">
        <w:rPr>
          <w:sz w:val="22"/>
          <w:szCs w:val="22"/>
          <w:lang w:val="en-GB"/>
        </w:rPr>
        <w:t xml:space="preserve">and allowing our identification on the Fondul Proprietatea shareholders registry on the </w:t>
      </w:r>
      <w:r w:rsidRPr="00237192" w:rsidR="00237192">
        <w:rPr>
          <w:sz w:val="22"/>
          <w:szCs w:val="22"/>
          <w:lang w:val="en-GB"/>
        </w:rPr>
        <w:t>OGMS</w:t>
      </w:r>
      <w:r w:rsidRPr="00237192" w:rsidR="00956E91">
        <w:rPr>
          <w:sz w:val="22"/>
          <w:szCs w:val="22"/>
          <w:lang w:val="en-GB"/>
        </w:rPr>
        <w:t xml:space="preserve"> </w:t>
      </w:r>
      <w:r w:rsidRPr="00237192">
        <w:rPr>
          <w:sz w:val="22"/>
          <w:szCs w:val="22"/>
          <w:lang w:val="en-GB"/>
        </w:rPr>
        <w:t>reference date</w:t>
      </w:r>
      <w:r w:rsidRPr="00237192" w:rsidR="00956E91">
        <w:rPr>
          <w:sz w:val="22"/>
          <w:szCs w:val="22"/>
          <w:lang w:val="en-GB"/>
        </w:rPr>
        <w:t xml:space="preserve"> (</w:t>
      </w:r>
      <w:r w:rsidR="007E5EF4">
        <w:rPr>
          <w:b/>
          <w:bCs/>
          <w:i/>
          <w:iCs/>
          <w:sz w:val="22"/>
          <w:szCs w:val="22"/>
          <w:lang w:val="en-GB"/>
        </w:rPr>
        <w:t xml:space="preserve">30 October </w:t>
      </w:r>
      <w:r w:rsidRPr="003B4690" w:rsidR="003B4690">
        <w:rPr>
          <w:b/>
          <w:bCs/>
          <w:i/>
          <w:iCs/>
          <w:sz w:val="22"/>
          <w:szCs w:val="22"/>
          <w:lang w:val="en-GB"/>
        </w:rPr>
        <w:t>2025</w:t>
      </w:r>
      <w:r w:rsidR="003B4690">
        <w:rPr>
          <w:sz w:val="22"/>
          <w:szCs w:val="22"/>
          <w:lang w:val="en-GB"/>
        </w:rPr>
        <w:t xml:space="preserve">) </w:t>
      </w:r>
      <w:r w:rsidRPr="003B4690">
        <w:rPr>
          <w:sz w:val="22"/>
          <w:szCs w:val="22"/>
          <w:lang w:val="en-GB"/>
        </w:rPr>
        <w:t>issued</w:t>
      </w:r>
      <w:r w:rsidRPr="00237192">
        <w:rPr>
          <w:sz w:val="22"/>
          <w:szCs w:val="22"/>
          <w:lang w:val="en-GB"/>
        </w:rPr>
        <w:t xml:space="preserve"> by Depozitarul Central SA. </w:t>
      </w:r>
      <w:r w:rsidRPr="00237192">
        <w:rPr>
          <w:sz w:val="22"/>
          <w:szCs w:val="22"/>
          <w:lang w:val="en-GB" w:eastAsia="ro-RO"/>
        </w:rPr>
        <w:t xml:space="preserve">If Depozitarul Central SA was not timely informed of the name of the legal representative, (so that the shareholders’ registry at the reference date to reflect that), the findings certificate/similar documents mentioned above will have to prove the capacity of the </w:t>
      </w:r>
      <w:r w:rsidRPr="00237192" w:rsidR="00170CF2">
        <w:rPr>
          <w:sz w:val="22"/>
          <w:szCs w:val="22"/>
          <w:lang w:val="en-GB" w:eastAsia="ro-RO"/>
        </w:rPr>
        <w:t>principal shareholder</w:t>
      </w:r>
      <w:r w:rsidRPr="00237192">
        <w:rPr>
          <w:sz w:val="22"/>
          <w:szCs w:val="22"/>
          <w:lang w:val="en-GB" w:eastAsia="ro-RO"/>
        </w:rPr>
        <w:t xml:space="preserve">’s legal representative, </w:t>
      </w:r>
      <w:r w:rsidRPr="00237192">
        <w:rPr>
          <w:sz w:val="22"/>
          <w:szCs w:val="22"/>
          <w:lang w:val="en-GB"/>
        </w:rPr>
        <w:t>and</w:t>
      </w:r>
    </w:p>
    <w:p w:rsidRPr="00237192" w:rsidR="006143F5" w:rsidP="006143F5" w:rsidRDefault="006143F5" w14:paraId="3F080CBE" w14:textId="77777777">
      <w:pPr>
        <w:pStyle w:val="ListParagraph"/>
        <w:numPr>
          <w:ilvl w:val="0"/>
          <w:numId w:val="3"/>
        </w:numPr>
        <w:suppressAutoHyphens/>
        <w:ind w:left="360"/>
        <w:jc w:val="both"/>
        <w:rPr>
          <w:sz w:val="22"/>
          <w:szCs w:val="22"/>
          <w:lang w:val="en-GB"/>
        </w:rPr>
      </w:pPr>
      <w:r w:rsidRPr="00237192">
        <w:rPr>
          <w:sz w:val="22"/>
          <w:szCs w:val="22"/>
          <w:lang w:val="en-GB"/>
        </w:rPr>
        <w:t>a copy of the identity card of the empowered (identity document or identity card for Romanian citizens or passport for foreign citizens).</w:t>
      </w:r>
    </w:p>
    <w:p w:rsidRPr="00237192" w:rsidR="006143F5" w:rsidP="006143F5" w:rsidRDefault="006143F5" w14:paraId="32DDA44C" w14:textId="77777777">
      <w:pPr>
        <w:suppressAutoHyphens/>
        <w:jc w:val="both"/>
        <w:rPr>
          <w:sz w:val="22"/>
          <w:szCs w:val="22"/>
          <w:lang w:val="en-GB"/>
        </w:rPr>
      </w:pPr>
    </w:p>
    <w:p w:rsidRPr="00237192" w:rsidR="006143F5" w:rsidP="006143F5" w:rsidRDefault="006143F5" w14:paraId="7B16AECE" w14:textId="06250783">
      <w:pPr>
        <w:suppressAutoHyphens/>
        <w:jc w:val="both"/>
        <w:rPr>
          <w:sz w:val="22"/>
          <w:szCs w:val="22"/>
          <w:lang w:val="en-GB"/>
        </w:rPr>
      </w:pPr>
      <w:r w:rsidRPr="00237192">
        <w:rPr>
          <w:sz w:val="22"/>
          <w:szCs w:val="22"/>
          <w:lang w:val="en-GB"/>
        </w:rPr>
        <w:t xml:space="preserve">In case of an empowered legal person, we also attach the original or true copy of the </w:t>
      </w:r>
      <w:r w:rsidRPr="00237192" w:rsidR="00956E91">
        <w:rPr>
          <w:sz w:val="22"/>
          <w:szCs w:val="22"/>
          <w:lang w:val="en-GB"/>
        </w:rPr>
        <w:t xml:space="preserve">up-to-date </w:t>
      </w:r>
      <w:r w:rsidRPr="00237192">
        <w:rPr>
          <w:sz w:val="22"/>
          <w:szCs w:val="22"/>
          <w:lang w:val="en-GB"/>
        </w:rPr>
        <w:t xml:space="preserve">findings certificate issued by the Trade Registry or any other document, in original or true copy, issued by a competent authority of origin, attesting </w:t>
      </w:r>
      <w:r w:rsidRPr="00237192">
        <w:rPr>
          <w:i/>
          <w:sz w:val="22"/>
          <w:szCs w:val="22"/>
          <w:lang w:val="en-GB"/>
        </w:rPr>
        <w:t>inter alia</w:t>
      </w:r>
      <w:r w:rsidRPr="00237192">
        <w:rPr>
          <w:sz w:val="22"/>
          <w:szCs w:val="22"/>
          <w:lang w:val="en-GB"/>
        </w:rPr>
        <w:t xml:space="preserve"> the identity of the legal representative, all being no </w:t>
      </w:r>
      <w:r w:rsidRPr="00237192">
        <w:rPr>
          <w:sz w:val="22"/>
          <w:szCs w:val="22"/>
          <w:lang w:val="en-GB"/>
        </w:rPr>
        <w:lastRenderedPageBreak/>
        <w:t>older than</w:t>
      </w:r>
      <w:r w:rsidRPr="00237192" w:rsidR="00296D7F">
        <w:rPr>
          <w:sz w:val="22"/>
          <w:szCs w:val="22"/>
          <w:lang w:val="en-GB"/>
        </w:rPr>
        <w:t xml:space="preserve"> twelve (</w:t>
      </w:r>
      <w:r w:rsidRPr="00237192">
        <w:rPr>
          <w:sz w:val="22"/>
          <w:szCs w:val="22"/>
          <w:lang w:val="en-GB"/>
        </w:rPr>
        <w:t>12</w:t>
      </w:r>
      <w:r w:rsidRPr="00237192" w:rsidR="00296D7F">
        <w:rPr>
          <w:sz w:val="22"/>
          <w:szCs w:val="22"/>
          <w:lang w:val="en-GB"/>
        </w:rPr>
        <w:t>)</w:t>
      </w:r>
      <w:r w:rsidRPr="00237192">
        <w:rPr>
          <w:sz w:val="22"/>
          <w:szCs w:val="22"/>
          <w:lang w:val="en-GB"/>
        </w:rPr>
        <w:t xml:space="preserve"> months</w:t>
      </w:r>
      <w:r w:rsidRPr="00237192" w:rsidR="001E6D36">
        <w:rPr>
          <w:sz w:val="22"/>
          <w:szCs w:val="22"/>
          <w:lang w:val="en-GB"/>
        </w:rPr>
        <w:t xml:space="preserve"> as from the date when the </w:t>
      </w:r>
      <w:r w:rsidRPr="00237192" w:rsidR="00237192">
        <w:rPr>
          <w:sz w:val="22"/>
          <w:szCs w:val="22"/>
          <w:lang w:val="en-GB"/>
        </w:rPr>
        <w:t>OGMS</w:t>
      </w:r>
      <w:r w:rsidRPr="00237192" w:rsidR="001E6D36">
        <w:rPr>
          <w:sz w:val="22"/>
          <w:szCs w:val="22"/>
          <w:lang w:val="en-GB"/>
        </w:rPr>
        <w:t xml:space="preserve"> convening notice was published</w:t>
      </w:r>
      <w:r w:rsidRPr="00237192" w:rsidR="00296D7F">
        <w:rPr>
          <w:sz w:val="22"/>
          <w:szCs w:val="22"/>
          <w:lang w:val="en-GB"/>
        </w:rPr>
        <w:t xml:space="preserve"> in the Official Gazette</w:t>
      </w:r>
      <w:r w:rsidRPr="00237192">
        <w:rPr>
          <w:sz w:val="22"/>
          <w:szCs w:val="22"/>
          <w:lang w:val="en-GB"/>
        </w:rPr>
        <w:t>.</w:t>
      </w:r>
    </w:p>
    <w:p w:rsidRPr="00237192" w:rsidR="006143F5" w:rsidP="006143F5" w:rsidRDefault="006143F5" w14:paraId="303D2154" w14:textId="77777777">
      <w:pPr>
        <w:autoSpaceDE w:val="0"/>
        <w:autoSpaceDN w:val="0"/>
        <w:adjustRightInd w:val="0"/>
        <w:rPr>
          <w:sz w:val="22"/>
          <w:szCs w:val="22"/>
          <w:lang w:val="en-GB"/>
        </w:rPr>
      </w:pPr>
    </w:p>
    <w:p w:rsidRPr="00237192" w:rsidR="006143F5" w:rsidP="006143F5" w:rsidRDefault="006143F5" w14:paraId="57E729AA" w14:textId="77777777">
      <w:pPr>
        <w:autoSpaceDE w:val="0"/>
        <w:autoSpaceDN w:val="0"/>
        <w:adjustRightInd w:val="0"/>
        <w:jc w:val="both"/>
        <w:rPr>
          <w:sz w:val="22"/>
          <w:szCs w:val="22"/>
          <w:lang w:val="en-GB"/>
        </w:rPr>
      </w:pPr>
      <w:r w:rsidRPr="00237192">
        <w:rPr>
          <w:sz w:val="22"/>
          <w:szCs w:val="22"/>
          <w:lang w:val="en-GB"/>
        </w:rPr>
        <w:t>The special power of attorney date: [_______________]</w:t>
      </w:r>
    </w:p>
    <w:p w:rsidRPr="00237192" w:rsidR="006143F5" w:rsidP="006143F5" w:rsidRDefault="006143F5" w14:paraId="6E3FCA94" w14:textId="77777777">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if the shareholder sends more than one special power of attorney consecutively, the Company shall consider that the power of attorney having a subsequent date revokes the previous power(s) of attorney)</w:t>
      </w:r>
    </w:p>
    <w:p w:rsidRPr="00237192" w:rsidR="006143F5" w:rsidP="006143F5" w:rsidRDefault="006143F5" w14:paraId="204B7B4A" w14:textId="77777777">
      <w:pPr>
        <w:autoSpaceDE w:val="0"/>
        <w:autoSpaceDN w:val="0"/>
        <w:adjustRightInd w:val="0"/>
        <w:rPr>
          <w:sz w:val="22"/>
          <w:szCs w:val="22"/>
          <w:lang w:val="en-GB"/>
        </w:rPr>
      </w:pPr>
    </w:p>
    <w:p w:rsidRPr="00237192" w:rsidR="006143F5" w:rsidP="006143F5" w:rsidRDefault="006143F5" w14:paraId="0AC5928A" w14:textId="77777777">
      <w:pPr>
        <w:autoSpaceDE w:val="0"/>
        <w:autoSpaceDN w:val="0"/>
        <w:adjustRightInd w:val="0"/>
        <w:jc w:val="both"/>
        <w:rPr>
          <w:sz w:val="22"/>
          <w:szCs w:val="22"/>
          <w:lang w:val="en-GB"/>
        </w:rPr>
      </w:pPr>
      <w:r w:rsidRPr="00237192">
        <w:rPr>
          <w:sz w:val="22"/>
          <w:szCs w:val="22"/>
          <w:lang w:val="en-GB"/>
        </w:rPr>
        <w:t>Legal name of the legal person shareholder: [____________________________]</w:t>
      </w:r>
    </w:p>
    <w:p w:rsidRPr="00237192" w:rsidR="006143F5" w:rsidP="006143F5" w:rsidRDefault="006143F5" w14:paraId="589364A4" w14:textId="77777777">
      <w:pPr>
        <w:autoSpaceDE w:val="0"/>
        <w:autoSpaceDN w:val="0"/>
        <w:adjustRightInd w:val="0"/>
        <w:rPr>
          <w:sz w:val="22"/>
          <w:szCs w:val="22"/>
          <w:lang w:val="en-GB"/>
        </w:rPr>
      </w:pPr>
    </w:p>
    <w:p w:rsidRPr="00237192" w:rsidR="006143F5" w:rsidP="006143F5" w:rsidRDefault="006143F5" w14:paraId="7DD5BE86" w14:textId="77777777">
      <w:pPr>
        <w:autoSpaceDE w:val="0"/>
        <w:autoSpaceDN w:val="0"/>
        <w:adjustRightInd w:val="0"/>
        <w:jc w:val="both"/>
        <w:rPr>
          <w:sz w:val="22"/>
          <w:szCs w:val="22"/>
          <w:lang w:val="en-GB"/>
        </w:rPr>
      </w:pPr>
      <w:r w:rsidRPr="00237192">
        <w:rPr>
          <w:sz w:val="22"/>
          <w:szCs w:val="22"/>
          <w:lang w:val="en-GB"/>
        </w:rPr>
        <w:t>First and last name of the legal representative: [__________________________]</w:t>
      </w:r>
      <w:r w:rsidRPr="00237192">
        <w:rPr>
          <w:sz w:val="22"/>
          <w:szCs w:val="22"/>
          <w:lang w:val="en-GB"/>
        </w:rPr>
        <w:tab/>
      </w:r>
    </w:p>
    <w:p w:rsidRPr="00237192" w:rsidR="006143F5" w:rsidP="006143F5" w:rsidRDefault="006143F5" w14:paraId="0BFB12CB" w14:textId="77777777">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legal name of the legal person shareholder and with the first and last name of the legal representative, legible, in capital letters)</w:t>
      </w:r>
    </w:p>
    <w:p w:rsidRPr="00237192" w:rsidR="006143F5" w:rsidP="006143F5" w:rsidRDefault="006143F5" w14:paraId="3A0CAFD1" w14:textId="77777777">
      <w:pPr>
        <w:autoSpaceDE w:val="0"/>
        <w:autoSpaceDN w:val="0"/>
        <w:adjustRightInd w:val="0"/>
        <w:rPr>
          <w:sz w:val="22"/>
          <w:szCs w:val="22"/>
          <w:lang w:val="en-GB"/>
        </w:rPr>
      </w:pPr>
    </w:p>
    <w:p w:rsidRPr="00237192" w:rsidR="007B083C" w:rsidP="2EFAC9E3" w:rsidRDefault="006143F5" w14:paraId="1A12738A" w14:textId="4430DE86">
      <w:pPr>
        <w:autoSpaceDE w:val="0"/>
        <w:autoSpaceDN w:val="0"/>
        <w:adjustRightInd w:val="0"/>
        <w:jc w:val="both"/>
        <w:rPr>
          <w:sz w:val="22"/>
          <w:szCs w:val="22"/>
        </w:rPr>
      </w:pPr>
      <w:r w:rsidRPr="2EFAC9E3">
        <w:rPr>
          <w:sz w:val="22"/>
          <w:szCs w:val="22"/>
        </w:rPr>
        <w:t xml:space="preserve">Signature: </w:t>
      </w:r>
      <w:r w:rsidRPr="2EFAC9E3" w:rsidR="007B083C">
        <w:rPr>
          <w:sz w:val="22"/>
          <w:szCs w:val="22"/>
        </w:rPr>
        <w:t>[__________________________]</w:t>
      </w:r>
      <w:r>
        <w:tab/>
      </w:r>
    </w:p>
    <w:p w:rsidRPr="00237192" w:rsidR="006143F5" w:rsidP="006143F5" w:rsidRDefault="006143F5" w14:paraId="096FE602" w14:textId="50E73486">
      <w:pPr>
        <w:autoSpaceDE w:val="0"/>
        <w:autoSpaceDN w:val="0"/>
        <w:adjustRightInd w:val="0"/>
        <w:jc w:val="both"/>
        <w:rPr>
          <w:sz w:val="22"/>
          <w:szCs w:val="22"/>
          <w:lang w:val="en-GB"/>
        </w:rPr>
      </w:pPr>
    </w:p>
    <w:p w:rsidRPr="00237192" w:rsidR="006143F5" w:rsidP="006143F5" w:rsidRDefault="006143F5" w14:paraId="60AA4A44" w14:textId="0F1C14F9">
      <w:pPr>
        <w:rPr>
          <w:sz w:val="22"/>
          <w:szCs w:val="22"/>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signature of the legal representative of the legal person shareholder)</w:t>
      </w:r>
    </w:p>
    <w:sectPr w:rsidRPr="00237192" w:rsidR="006143F5">
      <w:footerReference w:type="default" r:id="rId10"/>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6AB9" w:rsidP="00E83034" w:rsidRDefault="00906AB9" w14:paraId="3FA6FA32" w14:textId="77777777">
      <w:r>
        <w:separator/>
      </w:r>
    </w:p>
  </w:endnote>
  <w:endnote w:type="continuationSeparator" w:id="0">
    <w:p w:rsidR="00906AB9" w:rsidP="00E83034" w:rsidRDefault="00906AB9" w14:paraId="3EB428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295599"/>
      <w:docPartObj>
        <w:docPartGallery w:val="Page Numbers (Bottom of Page)"/>
        <w:docPartUnique/>
      </w:docPartObj>
    </w:sdtPr>
    <w:sdtEndPr>
      <w:rPr>
        <w:noProof/>
        <w:sz w:val="20"/>
        <w:szCs w:val="20"/>
      </w:rPr>
    </w:sdtEndPr>
    <w:sdtContent>
      <w:p w:rsidRPr="00E83034" w:rsidR="00E83034" w:rsidRDefault="00E83034" w14:paraId="3EB951B3" w14:textId="5AA9B41D">
        <w:pPr>
          <w:pStyle w:val="Footer"/>
          <w:jc w:val="center"/>
          <w:rPr>
            <w:sz w:val="20"/>
            <w:szCs w:val="20"/>
          </w:rPr>
        </w:pPr>
        <w:r w:rsidRPr="00E83034">
          <w:rPr>
            <w:sz w:val="20"/>
            <w:szCs w:val="20"/>
          </w:rPr>
          <w:fldChar w:fldCharType="begin"/>
        </w:r>
        <w:r w:rsidRPr="00E83034">
          <w:rPr>
            <w:sz w:val="20"/>
            <w:szCs w:val="20"/>
          </w:rPr>
          <w:instrText xml:space="preserve"> PAGE   \* MERGEFORMAT </w:instrText>
        </w:r>
        <w:r w:rsidRPr="00E83034">
          <w:rPr>
            <w:sz w:val="20"/>
            <w:szCs w:val="20"/>
          </w:rPr>
          <w:fldChar w:fldCharType="separate"/>
        </w:r>
        <w:r w:rsidR="00811C10">
          <w:rPr>
            <w:noProof/>
            <w:sz w:val="20"/>
            <w:szCs w:val="20"/>
          </w:rPr>
          <w:t>3</w:t>
        </w:r>
        <w:r w:rsidRPr="00E83034">
          <w:rPr>
            <w:noProof/>
            <w:sz w:val="20"/>
            <w:szCs w:val="20"/>
          </w:rPr>
          <w:fldChar w:fldCharType="end"/>
        </w:r>
      </w:p>
    </w:sdtContent>
  </w:sdt>
  <w:p w:rsidR="00E83034" w:rsidRDefault="00E83034" w14:paraId="79DB24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6AB9" w:rsidP="00E83034" w:rsidRDefault="00906AB9" w14:paraId="7A281850" w14:textId="77777777">
      <w:r>
        <w:separator/>
      </w:r>
    </w:p>
  </w:footnote>
  <w:footnote w:type="continuationSeparator" w:id="0">
    <w:p w:rsidR="00906AB9" w:rsidP="00E83034" w:rsidRDefault="00906AB9" w14:paraId="12BB112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258"/>
    <w:multiLevelType w:val="hybridMultilevel"/>
    <w:tmpl w:val="776AB97E"/>
    <w:lvl w:ilvl="0" w:tplc="980A5E46">
      <w:start w:val="1"/>
      <w:numFmt w:val="lowerLetter"/>
      <w:lvlText w:val="%1)"/>
      <w:lvlJc w:val="left"/>
      <w:pPr>
        <w:ind w:left="900" w:hanging="360"/>
      </w:pPr>
      <w:rPr>
        <w:rFonts w:hint="default"/>
        <w:b/>
        <w:bCs/>
        <w:i/>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061904"/>
    <w:multiLevelType w:val="hybridMultilevel"/>
    <w:tmpl w:val="112C0594"/>
    <w:lvl w:ilvl="0" w:tplc="46C455A8">
      <w:start w:val="1"/>
      <w:numFmt w:val="lowerLetter"/>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E5E5D"/>
    <w:multiLevelType w:val="hybridMultilevel"/>
    <w:tmpl w:val="D5EA0DA8"/>
    <w:lvl w:ilvl="0" w:tplc="9EB631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FA2D32"/>
    <w:multiLevelType w:val="hybridMultilevel"/>
    <w:tmpl w:val="3F1EB59E"/>
    <w:lvl w:ilvl="0" w:tplc="F9003824">
      <w:start w:val="1"/>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4F1065C"/>
    <w:multiLevelType w:val="multilevel"/>
    <w:tmpl w:val="33CA1880"/>
    <w:lvl w:ilvl="0">
      <w:start w:val="7"/>
      <w:numFmt w:val="decimal"/>
      <w:lvlText w:val="%1."/>
      <w:lvlJc w:val="left"/>
      <w:pPr>
        <w:ind w:left="720" w:hanging="360"/>
      </w:pPr>
      <w:rPr>
        <w:rFonts w:hint="default"/>
        <w:b/>
        <w:bCs/>
        <w:i w:val="0"/>
        <w:iCs/>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62413DD"/>
    <w:multiLevelType w:val="hybridMultilevel"/>
    <w:tmpl w:val="AAC4D42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183904E3"/>
    <w:multiLevelType w:val="hybridMultilevel"/>
    <w:tmpl w:val="6758F7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23C209A"/>
    <w:multiLevelType w:val="hybridMultilevel"/>
    <w:tmpl w:val="4BE4ECC6"/>
    <w:lvl w:ilvl="0" w:tplc="2E746D8E">
      <w:start w:val="1"/>
      <w:numFmt w:val="bullet"/>
      <w:lvlText w:val="-"/>
      <w:lvlJc w:val="left"/>
      <w:pPr>
        <w:ind w:left="1080" w:hanging="360"/>
      </w:pPr>
      <w:rPr>
        <w:rFonts w:hint="default" w:ascii="Times New Roman" w:hAnsi="Times New Roman" w:eastAsia="Times New Roman" w:cs="Times New Roman"/>
        <w: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3C73289"/>
    <w:multiLevelType w:val="hybridMultilevel"/>
    <w:tmpl w:val="78A26E38"/>
    <w:lvl w:ilvl="0" w:tplc="6C0A262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FCA1688"/>
    <w:multiLevelType w:val="hybridMultilevel"/>
    <w:tmpl w:val="4FE2ED66"/>
    <w:lvl w:ilvl="0" w:tplc="5196414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0C65D5E"/>
    <w:multiLevelType w:val="hybridMultilevel"/>
    <w:tmpl w:val="AAC4D422"/>
    <w:lvl w:ilvl="0" w:tplc="D06A20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3335846"/>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2653C1"/>
    <w:multiLevelType w:val="hybridMultilevel"/>
    <w:tmpl w:val="43EABA3C"/>
    <w:lvl w:ilvl="0" w:tplc="1172C1CA">
      <w:start w:val="1"/>
      <w:numFmt w:val="lowerRoman"/>
      <w:lvlText w:val="%1."/>
      <w:lvlJc w:val="right"/>
      <w:pPr>
        <w:ind w:left="900" w:hanging="360"/>
      </w:pPr>
      <w:rPr>
        <w:rFonts w:hint="default" w:ascii="Times New Roman" w:hAnsi="Times New Roman" w:cs="Times New Roman"/>
        <w:b w:val="0"/>
        <w:bCs w:val="0"/>
        <w:lang w:val="en-G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3" w15:restartNumberingAfterBreak="0">
    <w:nsid w:val="35F400AF"/>
    <w:multiLevelType w:val="hybridMultilevel"/>
    <w:tmpl w:val="2294FE52"/>
    <w:lvl w:ilvl="0" w:tplc="0BD2B818">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705072C"/>
    <w:multiLevelType w:val="hybridMultilevel"/>
    <w:tmpl w:val="F65CC89E"/>
    <w:lvl w:ilvl="0" w:tplc="E730B5C6">
      <w:start w:val="3"/>
      <w:numFmt w:val="bullet"/>
      <w:lvlText w:val="-"/>
      <w:lvlJc w:val="left"/>
      <w:pPr>
        <w:ind w:left="1080" w:hanging="360"/>
      </w:pPr>
      <w:rPr>
        <w:rFonts w:hint="default" w:ascii="Arial" w:hAnsi="Arial" w:eastAsia="Cambria"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77A7472"/>
    <w:multiLevelType w:val="hybridMultilevel"/>
    <w:tmpl w:val="91D4167A"/>
    <w:lvl w:ilvl="0" w:tplc="8E9EB628">
      <w:start w:val="1"/>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77D6388"/>
    <w:multiLevelType w:val="hybridMultilevel"/>
    <w:tmpl w:val="AB0A2AD2"/>
    <w:lvl w:ilvl="0" w:tplc="9DFE8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90186"/>
    <w:multiLevelType w:val="hybridMultilevel"/>
    <w:tmpl w:val="A0148648"/>
    <w:lvl w:ilvl="0" w:tplc="84D69572">
      <w:numFmt w:val="bullet"/>
      <w:lvlText w:val="-"/>
      <w:lvlJc w:val="left"/>
      <w:pPr>
        <w:ind w:left="720" w:hanging="360"/>
      </w:pPr>
      <w:rPr>
        <w:rFonts w:hint="default" w:ascii="Times New Roman" w:hAnsi="Times New Roman" w:eastAsia="Times New Roman" w:cs="Times New Roman"/>
        <w: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EF63237"/>
    <w:multiLevelType w:val="hybridMultilevel"/>
    <w:tmpl w:val="CFA6C7C0"/>
    <w:lvl w:ilvl="0" w:tplc="FFFFFFFF">
      <w:start w:val="1"/>
      <w:numFmt w:val="decimal"/>
      <w:lvlText w:val="%1."/>
      <w:lvlJc w:val="left"/>
      <w:pPr>
        <w:ind w:left="861" w:hanging="435"/>
      </w:pPr>
      <w:rPr>
        <w:rFonts w:hint="default" w:ascii="Times New Roman" w:hAnsi="Times New Roman" w:cs="Times New Roman"/>
        <w:i w:val="0"/>
        <w:color w:val="auto"/>
        <w:sz w:val="22"/>
        <w:szCs w:val="22"/>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50755E9"/>
    <w:multiLevelType w:val="hybridMultilevel"/>
    <w:tmpl w:val="FFFFFFFF"/>
    <w:lvl w:ilvl="0" w:tplc="4AA4ECF0">
      <w:start w:val="1"/>
      <w:numFmt w:val="lowerLetter"/>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Doc"/>
    <w:lvl w:ilvl="0">
      <w:start w:val="1"/>
      <w:numFmt w:val="none"/>
      <w:pStyle w:val="AODocTxt"/>
      <w:suff w:val="nothing"/>
      <w:lvlText w:val=""/>
      <w:lvlJc w:val="left"/>
      <w:pPr>
        <w:ind w:left="450" w:firstLine="0"/>
      </w:pPr>
    </w:lvl>
    <w:lvl w:ilvl="1">
      <w:start w:val="1"/>
      <w:numFmt w:val="none"/>
      <w:pStyle w:val="AODocTxtL1"/>
      <w:suff w:val="nothing"/>
      <w:lvlText w:val=""/>
      <w:lvlJc w:val="left"/>
      <w:pPr>
        <w:ind w:left="1170" w:firstLine="0"/>
      </w:pPr>
    </w:lvl>
    <w:lvl w:ilvl="2">
      <w:start w:val="1"/>
      <w:numFmt w:val="none"/>
      <w:pStyle w:val="AODocTxtL2"/>
      <w:suff w:val="nothing"/>
      <w:lvlText w:val=""/>
      <w:lvlJc w:val="left"/>
      <w:pPr>
        <w:ind w:left="1890" w:firstLine="0"/>
      </w:pPr>
    </w:lvl>
    <w:lvl w:ilvl="3">
      <w:start w:val="1"/>
      <w:numFmt w:val="none"/>
      <w:pStyle w:val="AODocTxtL3"/>
      <w:suff w:val="nothing"/>
      <w:lvlText w:val=""/>
      <w:lvlJc w:val="left"/>
      <w:pPr>
        <w:ind w:left="2610" w:firstLine="0"/>
      </w:pPr>
    </w:lvl>
    <w:lvl w:ilvl="4">
      <w:start w:val="1"/>
      <w:numFmt w:val="none"/>
      <w:pStyle w:val="AODocTxtL4"/>
      <w:suff w:val="nothing"/>
      <w:lvlText w:val=""/>
      <w:lvlJc w:val="left"/>
      <w:pPr>
        <w:ind w:left="3330" w:firstLine="0"/>
      </w:pPr>
    </w:lvl>
    <w:lvl w:ilvl="5">
      <w:start w:val="1"/>
      <w:numFmt w:val="none"/>
      <w:pStyle w:val="AODocTxtL5"/>
      <w:suff w:val="nothing"/>
      <w:lvlText w:val=""/>
      <w:lvlJc w:val="left"/>
      <w:pPr>
        <w:ind w:left="4050" w:firstLine="0"/>
      </w:pPr>
    </w:lvl>
    <w:lvl w:ilvl="6">
      <w:start w:val="1"/>
      <w:numFmt w:val="none"/>
      <w:pStyle w:val="AODocTxtL6"/>
      <w:suff w:val="nothing"/>
      <w:lvlText w:val=""/>
      <w:lvlJc w:val="left"/>
      <w:pPr>
        <w:ind w:left="4770" w:firstLine="0"/>
      </w:pPr>
    </w:lvl>
    <w:lvl w:ilvl="7">
      <w:start w:val="1"/>
      <w:numFmt w:val="none"/>
      <w:pStyle w:val="AODocTxtL7"/>
      <w:suff w:val="nothing"/>
      <w:lvlText w:val=""/>
      <w:lvlJc w:val="left"/>
      <w:pPr>
        <w:ind w:left="5490" w:firstLine="0"/>
      </w:pPr>
    </w:lvl>
    <w:lvl w:ilvl="8">
      <w:start w:val="1"/>
      <w:numFmt w:val="none"/>
      <w:pStyle w:val="AODocTxtL8"/>
      <w:suff w:val="nothing"/>
      <w:lvlText w:val=""/>
      <w:lvlJc w:val="left"/>
      <w:pPr>
        <w:ind w:left="6210" w:firstLine="0"/>
      </w:pPr>
    </w:lvl>
  </w:abstractNum>
  <w:abstractNum w:abstractNumId="2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539E1BC9"/>
    <w:multiLevelType w:val="hybridMultilevel"/>
    <w:tmpl w:val="F2462DCA"/>
    <w:lvl w:ilvl="0" w:tplc="845E9FC6">
      <w:start w:val="1"/>
      <w:numFmt w:val="lowerRoman"/>
      <w:lvlText w:val="(%1)"/>
      <w:lvlJc w:val="left"/>
      <w:pPr>
        <w:ind w:left="1581" w:hanging="720"/>
      </w:pPr>
    </w:lvl>
    <w:lvl w:ilvl="1" w:tplc="04090019">
      <w:start w:val="1"/>
      <w:numFmt w:val="lowerLetter"/>
      <w:lvlText w:val="%2."/>
      <w:lvlJc w:val="left"/>
      <w:pPr>
        <w:ind w:left="1941" w:hanging="360"/>
      </w:pPr>
    </w:lvl>
    <w:lvl w:ilvl="2" w:tplc="0409001B">
      <w:start w:val="1"/>
      <w:numFmt w:val="lowerRoman"/>
      <w:lvlText w:val="%3."/>
      <w:lvlJc w:val="right"/>
      <w:pPr>
        <w:ind w:left="2661" w:hanging="180"/>
      </w:pPr>
    </w:lvl>
    <w:lvl w:ilvl="3" w:tplc="0409000F">
      <w:start w:val="1"/>
      <w:numFmt w:val="decimal"/>
      <w:lvlText w:val="%4."/>
      <w:lvlJc w:val="left"/>
      <w:pPr>
        <w:ind w:left="3381" w:hanging="360"/>
      </w:pPr>
    </w:lvl>
    <w:lvl w:ilvl="4" w:tplc="04090019">
      <w:start w:val="1"/>
      <w:numFmt w:val="lowerLetter"/>
      <w:lvlText w:val="%5."/>
      <w:lvlJc w:val="left"/>
      <w:pPr>
        <w:ind w:left="4101" w:hanging="360"/>
      </w:pPr>
    </w:lvl>
    <w:lvl w:ilvl="5" w:tplc="0409001B">
      <w:start w:val="1"/>
      <w:numFmt w:val="lowerRoman"/>
      <w:lvlText w:val="%6."/>
      <w:lvlJc w:val="right"/>
      <w:pPr>
        <w:ind w:left="4821" w:hanging="180"/>
      </w:pPr>
    </w:lvl>
    <w:lvl w:ilvl="6" w:tplc="0409000F">
      <w:start w:val="1"/>
      <w:numFmt w:val="decimal"/>
      <w:lvlText w:val="%7."/>
      <w:lvlJc w:val="left"/>
      <w:pPr>
        <w:ind w:left="5541" w:hanging="360"/>
      </w:pPr>
    </w:lvl>
    <w:lvl w:ilvl="7" w:tplc="04090019">
      <w:start w:val="1"/>
      <w:numFmt w:val="lowerLetter"/>
      <w:lvlText w:val="%8."/>
      <w:lvlJc w:val="left"/>
      <w:pPr>
        <w:ind w:left="6261" w:hanging="360"/>
      </w:pPr>
    </w:lvl>
    <w:lvl w:ilvl="8" w:tplc="0409001B">
      <w:start w:val="1"/>
      <w:numFmt w:val="lowerRoman"/>
      <w:lvlText w:val="%9."/>
      <w:lvlJc w:val="right"/>
      <w:pPr>
        <w:ind w:left="6981" w:hanging="180"/>
      </w:pPr>
    </w:lvl>
  </w:abstractNum>
  <w:abstractNum w:abstractNumId="24" w15:restartNumberingAfterBreak="0">
    <w:nsid w:val="53A53696"/>
    <w:multiLevelType w:val="hybridMultilevel"/>
    <w:tmpl w:val="A2AAF0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FF5D69"/>
    <w:multiLevelType w:val="hybridMultilevel"/>
    <w:tmpl w:val="8B64DF66"/>
    <w:lvl w:ilvl="0" w:tplc="1F0C5BB4">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E343930"/>
    <w:multiLevelType w:val="hybridMultilevel"/>
    <w:tmpl w:val="F0383E66"/>
    <w:lvl w:ilvl="0" w:tplc="60783EB0">
      <w:start w:val="1"/>
      <w:numFmt w:val="decimal"/>
      <w:lvlText w:val="%1."/>
      <w:lvlJc w:val="left"/>
      <w:pPr>
        <w:ind w:left="861" w:hanging="435"/>
      </w:pPr>
      <w:rPr>
        <w:rFonts w:hint="default" w:ascii="Times New Roman" w:hAnsi="Times New Roman" w:cs="Times New Roman"/>
        <w:b/>
        <w:bCs/>
        <w:i w:val="0"/>
        <w:color w:val="auto"/>
        <w:sz w:val="22"/>
        <w:szCs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ADB2F21"/>
    <w:multiLevelType w:val="hybridMultilevel"/>
    <w:tmpl w:val="F0383E66"/>
    <w:lvl w:ilvl="0" w:tplc="FFFFFFFF">
      <w:start w:val="1"/>
      <w:numFmt w:val="decimal"/>
      <w:lvlText w:val="%1."/>
      <w:lvlJc w:val="left"/>
      <w:pPr>
        <w:ind w:left="861" w:hanging="435"/>
      </w:pPr>
      <w:rPr>
        <w:rFonts w:hint="default" w:ascii="Times New Roman" w:hAnsi="Times New Roman" w:cs="Times New Roman"/>
        <w:b/>
        <w:bCs/>
        <w:i w:val="0"/>
        <w:color w:val="auto"/>
        <w:sz w:val="22"/>
        <w:szCs w:val="22"/>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6DEE1BD8"/>
    <w:multiLevelType w:val="hybridMultilevel"/>
    <w:tmpl w:val="B4A6C3BA"/>
    <w:lvl w:ilvl="0" w:tplc="6700C8F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86E69AD"/>
    <w:multiLevelType w:val="hybridMultilevel"/>
    <w:tmpl w:val="988CCD12"/>
    <w:lvl w:ilvl="0" w:tplc="D3C020C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F2958"/>
    <w:multiLevelType w:val="hybridMultilevel"/>
    <w:tmpl w:val="403EE110"/>
    <w:lvl w:ilvl="0" w:tplc="D9D4439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89851">
    <w:abstractNumId w:val="19"/>
  </w:num>
  <w:num w:numId="2" w16cid:durableId="1498838364">
    <w:abstractNumId w:val="26"/>
  </w:num>
  <w:num w:numId="3" w16cid:durableId="263196468">
    <w:abstractNumId w:val="15"/>
  </w:num>
  <w:num w:numId="4" w16cid:durableId="409079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533946">
    <w:abstractNumId w:val="28"/>
  </w:num>
  <w:num w:numId="6" w16cid:durableId="1297419568">
    <w:abstractNumId w:val="13"/>
  </w:num>
  <w:num w:numId="7" w16cid:durableId="1544630807">
    <w:abstractNumId w:val="25"/>
  </w:num>
  <w:num w:numId="8" w16cid:durableId="680274690">
    <w:abstractNumId w:val="14"/>
  </w:num>
  <w:num w:numId="9" w16cid:durableId="2125540974">
    <w:abstractNumId w:val="9"/>
  </w:num>
  <w:num w:numId="10" w16cid:durableId="358970032">
    <w:abstractNumId w:val="29"/>
  </w:num>
  <w:num w:numId="11" w16cid:durableId="1157452306">
    <w:abstractNumId w:val="21"/>
  </w:num>
  <w:num w:numId="12" w16cid:durableId="505246828">
    <w:abstractNumId w:val="22"/>
  </w:num>
  <w:num w:numId="13" w16cid:durableId="220558081">
    <w:abstractNumId w:val="17"/>
  </w:num>
  <w:num w:numId="14" w16cid:durableId="1648514129">
    <w:abstractNumId w:val="10"/>
  </w:num>
  <w:num w:numId="15" w16cid:durableId="987246942">
    <w:abstractNumId w:val="1"/>
  </w:num>
  <w:num w:numId="16" w16cid:durableId="94060046">
    <w:abstractNumId w:val="3"/>
  </w:num>
  <w:num w:numId="17" w16cid:durableId="169485831">
    <w:abstractNumId w:val="23"/>
  </w:num>
  <w:num w:numId="18" w16cid:durableId="67657759">
    <w:abstractNumId w:val="5"/>
  </w:num>
  <w:num w:numId="19" w16cid:durableId="441343439">
    <w:abstractNumId w:val="7"/>
  </w:num>
  <w:num w:numId="20" w16cid:durableId="1652831439">
    <w:abstractNumId w:val="6"/>
  </w:num>
  <w:num w:numId="21" w16cid:durableId="1389456743">
    <w:abstractNumId w:val="24"/>
  </w:num>
  <w:num w:numId="22" w16cid:durableId="1029767285">
    <w:abstractNumId w:val="11"/>
  </w:num>
  <w:num w:numId="23" w16cid:durableId="1601180476">
    <w:abstractNumId w:val="30"/>
  </w:num>
  <w:num w:numId="24" w16cid:durableId="928854862">
    <w:abstractNumId w:val="18"/>
  </w:num>
  <w:num w:numId="25" w16cid:durableId="990451815">
    <w:abstractNumId w:val="27"/>
  </w:num>
  <w:num w:numId="26" w16cid:durableId="292442339">
    <w:abstractNumId w:val="4"/>
  </w:num>
  <w:num w:numId="27" w16cid:durableId="723256069">
    <w:abstractNumId w:val="20"/>
  </w:num>
  <w:num w:numId="28" w16cid:durableId="1039286123">
    <w:abstractNumId w:val="16"/>
  </w:num>
  <w:num w:numId="29" w16cid:durableId="40206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595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5860370">
    <w:abstractNumId w:val="2"/>
  </w:num>
  <w:num w:numId="32" w16cid:durableId="557127791">
    <w:abstractNumId w:val="0"/>
  </w:num>
  <w:num w:numId="33" w16cid:durableId="1157186668">
    <w:abstractNumId w:val="12"/>
  </w:num>
  <w:num w:numId="34" w16cid:durableId="860358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F5"/>
    <w:rsid w:val="00001AFE"/>
    <w:rsid w:val="00020531"/>
    <w:rsid w:val="00026F74"/>
    <w:rsid w:val="00055304"/>
    <w:rsid w:val="00055ACD"/>
    <w:rsid w:val="000611CB"/>
    <w:rsid w:val="000742C1"/>
    <w:rsid w:val="00084B78"/>
    <w:rsid w:val="00093EA6"/>
    <w:rsid w:val="000C23FF"/>
    <w:rsid w:val="000D3C62"/>
    <w:rsid w:val="000D5904"/>
    <w:rsid w:val="000D5D45"/>
    <w:rsid w:val="00101604"/>
    <w:rsid w:val="001035BE"/>
    <w:rsid w:val="00131FF7"/>
    <w:rsid w:val="0014264C"/>
    <w:rsid w:val="00154EED"/>
    <w:rsid w:val="00167CD1"/>
    <w:rsid w:val="00170CC7"/>
    <w:rsid w:val="00170CF2"/>
    <w:rsid w:val="00182304"/>
    <w:rsid w:val="00187AD4"/>
    <w:rsid w:val="001B3039"/>
    <w:rsid w:val="001B32FA"/>
    <w:rsid w:val="001D1290"/>
    <w:rsid w:val="001D72E0"/>
    <w:rsid w:val="001E113C"/>
    <w:rsid w:val="001E1E91"/>
    <w:rsid w:val="001E6D36"/>
    <w:rsid w:val="00237192"/>
    <w:rsid w:val="00241859"/>
    <w:rsid w:val="00257B4E"/>
    <w:rsid w:val="00286207"/>
    <w:rsid w:val="00296D7F"/>
    <w:rsid w:val="002B712C"/>
    <w:rsid w:val="002C032C"/>
    <w:rsid w:val="003130FF"/>
    <w:rsid w:val="00314598"/>
    <w:rsid w:val="0031682F"/>
    <w:rsid w:val="00332E36"/>
    <w:rsid w:val="00340369"/>
    <w:rsid w:val="00344ED9"/>
    <w:rsid w:val="00345B46"/>
    <w:rsid w:val="00347F3C"/>
    <w:rsid w:val="00352643"/>
    <w:rsid w:val="0036462F"/>
    <w:rsid w:val="00387726"/>
    <w:rsid w:val="00393F2F"/>
    <w:rsid w:val="003A558D"/>
    <w:rsid w:val="003B4690"/>
    <w:rsid w:val="003C5E0B"/>
    <w:rsid w:val="003D3488"/>
    <w:rsid w:val="003D4BC5"/>
    <w:rsid w:val="0040211A"/>
    <w:rsid w:val="004146B8"/>
    <w:rsid w:val="00431B39"/>
    <w:rsid w:val="00466B03"/>
    <w:rsid w:val="0048667E"/>
    <w:rsid w:val="004B4F90"/>
    <w:rsid w:val="004E1521"/>
    <w:rsid w:val="005025C2"/>
    <w:rsid w:val="0051785F"/>
    <w:rsid w:val="00521E03"/>
    <w:rsid w:val="0052289C"/>
    <w:rsid w:val="005246AE"/>
    <w:rsid w:val="005718F1"/>
    <w:rsid w:val="0058145A"/>
    <w:rsid w:val="005A36B7"/>
    <w:rsid w:val="005A51E7"/>
    <w:rsid w:val="005A6EF1"/>
    <w:rsid w:val="005C02D1"/>
    <w:rsid w:val="005C25F1"/>
    <w:rsid w:val="005C7DB1"/>
    <w:rsid w:val="005D47DB"/>
    <w:rsid w:val="005D5975"/>
    <w:rsid w:val="005E0693"/>
    <w:rsid w:val="005E12F5"/>
    <w:rsid w:val="005E2A01"/>
    <w:rsid w:val="005E67ED"/>
    <w:rsid w:val="005F0341"/>
    <w:rsid w:val="005F34BD"/>
    <w:rsid w:val="006143F5"/>
    <w:rsid w:val="0063528D"/>
    <w:rsid w:val="00640968"/>
    <w:rsid w:val="00672E8E"/>
    <w:rsid w:val="006831F9"/>
    <w:rsid w:val="006B0D88"/>
    <w:rsid w:val="006C0845"/>
    <w:rsid w:val="006F3B8E"/>
    <w:rsid w:val="007041CC"/>
    <w:rsid w:val="00704E72"/>
    <w:rsid w:val="007066CD"/>
    <w:rsid w:val="00741A21"/>
    <w:rsid w:val="00766E5A"/>
    <w:rsid w:val="00785246"/>
    <w:rsid w:val="007905E2"/>
    <w:rsid w:val="007B083C"/>
    <w:rsid w:val="007B330E"/>
    <w:rsid w:val="007D1E10"/>
    <w:rsid w:val="007D58BB"/>
    <w:rsid w:val="007E5EF4"/>
    <w:rsid w:val="00811C10"/>
    <w:rsid w:val="008171E3"/>
    <w:rsid w:val="008370C9"/>
    <w:rsid w:val="00855161"/>
    <w:rsid w:val="008847A1"/>
    <w:rsid w:val="008B234D"/>
    <w:rsid w:val="008B4996"/>
    <w:rsid w:val="008D44B8"/>
    <w:rsid w:val="008E3386"/>
    <w:rsid w:val="009035A2"/>
    <w:rsid w:val="00906AB9"/>
    <w:rsid w:val="00913301"/>
    <w:rsid w:val="009425B9"/>
    <w:rsid w:val="00956E91"/>
    <w:rsid w:val="00961819"/>
    <w:rsid w:val="00972F78"/>
    <w:rsid w:val="009969DB"/>
    <w:rsid w:val="009A4605"/>
    <w:rsid w:val="009B65A8"/>
    <w:rsid w:val="009C0DDB"/>
    <w:rsid w:val="009C5E75"/>
    <w:rsid w:val="009D1FD9"/>
    <w:rsid w:val="009F6FDE"/>
    <w:rsid w:val="00A03E69"/>
    <w:rsid w:val="00A1632C"/>
    <w:rsid w:val="00A26D88"/>
    <w:rsid w:val="00A50EC8"/>
    <w:rsid w:val="00A736CC"/>
    <w:rsid w:val="00A87D80"/>
    <w:rsid w:val="00A96ABB"/>
    <w:rsid w:val="00AA4A62"/>
    <w:rsid w:val="00AB01FD"/>
    <w:rsid w:val="00AB0860"/>
    <w:rsid w:val="00AB3B8F"/>
    <w:rsid w:val="00AC1546"/>
    <w:rsid w:val="00AD0F23"/>
    <w:rsid w:val="00AE3AE8"/>
    <w:rsid w:val="00B000B4"/>
    <w:rsid w:val="00B3589B"/>
    <w:rsid w:val="00B431B4"/>
    <w:rsid w:val="00B60235"/>
    <w:rsid w:val="00B803F1"/>
    <w:rsid w:val="00B85581"/>
    <w:rsid w:val="00B85798"/>
    <w:rsid w:val="00B878A3"/>
    <w:rsid w:val="00BA7BA2"/>
    <w:rsid w:val="00BD3CBA"/>
    <w:rsid w:val="00BF21D7"/>
    <w:rsid w:val="00C054D5"/>
    <w:rsid w:val="00C1775E"/>
    <w:rsid w:val="00C17B49"/>
    <w:rsid w:val="00C27BB5"/>
    <w:rsid w:val="00C4466A"/>
    <w:rsid w:val="00C7101E"/>
    <w:rsid w:val="00C87B87"/>
    <w:rsid w:val="00C95AC5"/>
    <w:rsid w:val="00CB1ECA"/>
    <w:rsid w:val="00CB720C"/>
    <w:rsid w:val="00CC37AD"/>
    <w:rsid w:val="00CC6A0B"/>
    <w:rsid w:val="00CD2BC3"/>
    <w:rsid w:val="00D055C4"/>
    <w:rsid w:val="00D25B11"/>
    <w:rsid w:val="00D359CF"/>
    <w:rsid w:val="00D50CC1"/>
    <w:rsid w:val="00D77949"/>
    <w:rsid w:val="00D82B56"/>
    <w:rsid w:val="00D85EDF"/>
    <w:rsid w:val="00D869FB"/>
    <w:rsid w:val="00D972E3"/>
    <w:rsid w:val="00DD104A"/>
    <w:rsid w:val="00DD523C"/>
    <w:rsid w:val="00DE3CB7"/>
    <w:rsid w:val="00E05659"/>
    <w:rsid w:val="00E12A80"/>
    <w:rsid w:val="00E33522"/>
    <w:rsid w:val="00E35A90"/>
    <w:rsid w:val="00E52256"/>
    <w:rsid w:val="00E83034"/>
    <w:rsid w:val="00E967F9"/>
    <w:rsid w:val="00EA514E"/>
    <w:rsid w:val="00ED5AD4"/>
    <w:rsid w:val="00EF3F60"/>
    <w:rsid w:val="00F01234"/>
    <w:rsid w:val="00F1163F"/>
    <w:rsid w:val="00F4134E"/>
    <w:rsid w:val="00F57022"/>
    <w:rsid w:val="00F61E08"/>
    <w:rsid w:val="00F65C5E"/>
    <w:rsid w:val="00F77A8F"/>
    <w:rsid w:val="00F83252"/>
    <w:rsid w:val="00FA5F5C"/>
    <w:rsid w:val="00FC38B5"/>
    <w:rsid w:val="00FD3234"/>
    <w:rsid w:val="00FD76FB"/>
    <w:rsid w:val="00FE437F"/>
    <w:rsid w:val="00FF23AE"/>
    <w:rsid w:val="2AC47FA8"/>
    <w:rsid w:val="2EFAC9E3"/>
    <w:rsid w:val="60C46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8EC5"/>
  <w15:docId w15:val="{AC7DE67E-55C3-415E-AE04-C0AA30AE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3B8E"/>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Paragraphe EI,Paragraphe de liste1,EC,Paragraphe de liste,Normal bullet 2,List Paragraph3,List Paragraph Main,List first level,Bullet1,List Paragraph3 Caracter,Bullet List,FooterText,List Paragraph1,numbered,Bulletr List Paragraph,列出段落1"/>
    <w:basedOn w:val="Normal"/>
    <w:link w:val="ListParagraphChar"/>
    <w:uiPriority w:val="34"/>
    <w:qFormat/>
    <w:rsid w:val="006143F5"/>
    <w:pPr>
      <w:ind w:left="720"/>
      <w:contextualSpacing/>
    </w:pPr>
  </w:style>
  <w:style w:type="paragraph" w:styleId="Header">
    <w:name w:val="header"/>
    <w:basedOn w:val="Normal"/>
    <w:link w:val="HeaderChar"/>
    <w:uiPriority w:val="99"/>
    <w:unhideWhenUsed/>
    <w:rsid w:val="00E83034"/>
    <w:pPr>
      <w:tabs>
        <w:tab w:val="center" w:pos="4513"/>
        <w:tab w:val="right" w:pos="9026"/>
      </w:tabs>
    </w:pPr>
  </w:style>
  <w:style w:type="character" w:styleId="HeaderChar" w:customStyle="1">
    <w:name w:val="Header Char"/>
    <w:basedOn w:val="DefaultParagraphFont"/>
    <w:link w:val="Header"/>
    <w:uiPriority w:val="99"/>
    <w:rsid w:val="00E83034"/>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E83034"/>
    <w:pPr>
      <w:tabs>
        <w:tab w:val="center" w:pos="4513"/>
        <w:tab w:val="right" w:pos="9026"/>
      </w:tabs>
    </w:pPr>
  </w:style>
  <w:style w:type="character" w:styleId="FooterChar" w:customStyle="1">
    <w:name w:val="Footer Char"/>
    <w:basedOn w:val="DefaultParagraphFont"/>
    <w:link w:val="Footer"/>
    <w:uiPriority w:val="99"/>
    <w:rsid w:val="00E83034"/>
    <w:rPr>
      <w:rFonts w:ascii="Times New Roman" w:hAnsi="Times New Roman" w:eastAsia="Times New Roman" w:cs="Times New Roman"/>
      <w:sz w:val="24"/>
      <w:szCs w:val="24"/>
      <w:lang w:val="en-US"/>
    </w:rPr>
  </w:style>
  <w:style w:type="paragraph" w:styleId="AONormal" w:customStyle="1">
    <w:name w:val="AONormal"/>
    <w:rsid w:val="008D44B8"/>
    <w:pPr>
      <w:spacing w:after="0" w:line="260" w:lineRule="atLeast"/>
    </w:pPr>
    <w:rPr>
      <w:rFonts w:ascii="Times New Roman" w:hAnsi="Times New Roman" w:eastAsia="SimSun" w:cs="Times New Roman"/>
    </w:rPr>
  </w:style>
  <w:style w:type="paragraph" w:styleId="AODocTxt" w:customStyle="1">
    <w:name w:val="AODocTxt"/>
    <w:basedOn w:val="Normal"/>
    <w:rsid w:val="008847A1"/>
    <w:pPr>
      <w:numPr>
        <w:numId w:val="11"/>
      </w:numPr>
      <w:spacing w:before="240" w:line="260" w:lineRule="atLeast"/>
      <w:jc w:val="both"/>
    </w:pPr>
    <w:rPr>
      <w:rFonts w:eastAsia="SimSun"/>
      <w:sz w:val="22"/>
      <w:szCs w:val="22"/>
      <w:lang w:val="en-GB"/>
    </w:rPr>
  </w:style>
  <w:style w:type="paragraph" w:styleId="AODocTxtL1" w:customStyle="1">
    <w:name w:val="AODocTxtL1"/>
    <w:basedOn w:val="AODocTxt"/>
    <w:rsid w:val="008847A1"/>
    <w:pPr>
      <w:numPr>
        <w:ilvl w:val="1"/>
      </w:numPr>
    </w:pPr>
  </w:style>
  <w:style w:type="paragraph" w:styleId="AODocTxtL2" w:customStyle="1">
    <w:name w:val="AODocTxtL2"/>
    <w:basedOn w:val="AODocTxt"/>
    <w:rsid w:val="008847A1"/>
    <w:pPr>
      <w:numPr>
        <w:ilvl w:val="2"/>
      </w:numPr>
    </w:pPr>
  </w:style>
  <w:style w:type="paragraph" w:styleId="AODocTxtL3" w:customStyle="1">
    <w:name w:val="AODocTxtL3"/>
    <w:basedOn w:val="AODocTxt"/>
    <w:rsid w:val="008847A1"/>
    <w:pPr>
      <w:numPr>
        <w:ilvl w:val="3"/>
      </w:numPr>
    </w:pPr>
  </w:style>
  <w:style w:type="paragraph" w:styleId="AODocTxtL4" w:customStyle="1">
    <w:name w:val="AODocTxtL4"/>
    <w:basedOn w:val="AODocTxt"/>
    <w:rsid w:val="008847A1"/>
    <w:pPr>
      <w:numPr>
        <w:ilvl w:val="4"/>
      </w:numPr>
    </w:pPr>
  </w:style>
  <w:style w:type="paragraph" w:styleId="AODocTxtL5" w:customStyle="1">
    <w:name w:val="AODocTxtL5"/>
    <w:basedOn w:val="AODocTxt"/>
    <w:rsid w:val="008847A1"/>
    <w:pPr>
      <w:numPr>
        <w:ilvl w:val="5"/>
      </w:numPr>
    </w:pPr>
  </w:style>
  <w:style w:type="paragraph" w:styleId="AODocTxtL6" w:customStyle="1">
    <w:name w:val="AODocTxtL6"/>
    <w:basedOn w:val="AODocTxt"/>
    <w:rsid w:val="008847A1"/>
    <w:pPr>
      <w:numPr>
        <w:ilvl w:val="6"/>
      </w:numPr>
    </w:pPr>
  </w:style>
  <w:style w:type="paragraph" w:styleId="AODocTxtL7" w:customStyle="1">
    <w:name w:val="AODocTxtL7"/>
    <w:basedOn w:val="AODocTxt"/>
    <w:rsid w:val="008847A1"/>
    <w:pPr>
      <w:numPr>
        <w:ilvl w:val="7"/>
      </w:numPr>
    </w:pPr>
  </w:style>
  <w:style w:type="paragraph" w:styleId="AODocTxtL8" w:customStyle="1">
    <w:name w:val="AODocTxtL8"/>
    <w:basedOn w:val="AODocTxt"/>
    <w:rsid w:val="008847A1"/>
    <w:pPr>
      <w:numPr>
        <w:ilvl w:val="8"/>
      </w:numPr>
    </w:pPr>
  </w:style>
  <w:style w:type="paragraph" w:styleId="AOHead1" w:customStyle="1">
    <w:name w:val="AOHead1"/>
    <w:basedOn w:val="Normal"/>
    <w:next w:val="Normal"/>
    <w:rsid w:val="008847A1"/>
    <w:pPr>
      <w:keepNext/>
      <w:numPr>
        <w:numId w:val="12"/>
      </w:numPr>
      <w:spacing w:before="240" w:line="260" w:lineRule="atLeast"/>
      <w:jc w:val="both"/>
      <w:outlineLvl w:val="0"/>
    </w:pPr>
    <w:rPr>
      <w:rFonts w:eastAsia="SimSun"/>
      <w:b/>
      <w:caps/>
      <w:kern w:val="28"/>
      <w:sz w:val="22"/>
      <w:szCs w:val="22"/>
      <w:lang w:val="en-GB"/>
    </w:rPr>
  </w:style>
  <w:style w:type="paragraph" w:styleId="AOHead2" w:customStyle="1">
    <w:name w:val="AOHead2"/>
    <w:basedOn w:val="Normal"/>
    <w:next w:val="Normal"/>
    <w:rsid w:val="008847A1"/>
    <w:pPr>
      <w:keepNext/>
      <w:numPr>
        <w:ilvl w:val="1"/>
        <w:numId w:val="12"/>
      </w:numPr>
      <w:spacing w:before="240" w:line="260" w:lineRule="atLeast"/>
      <w:jc w:val="both"/>
      <w:outlineLvl w:val="1"/>
    </w:pPr>
    <w:rPr>
      <w:rFonts w:eastAsia="SimSun"/>
      <w:b/>
      <w:sz w:val="22"/>
      <w:szCs w:val="22"/>
      <w:lang w:val="en-GB"/>
    </w:rPr>
  </w:style>
  <w:style w:type="paragraph" w:styleId="AOHead3" w:customStyle="1">
    <w:name w:val="AOHead3"/>
    <w:basedOn w:val="Normal"/>
    <w:next w:val="Normal"/>
    <w:rsid w:val="008847A1"/>
    <w:pPr>
      <w:numPr>
        <w:ilvl w:val="2"/>
        <w:numId w:val="12"/>
      </w:numPr>
      <w:spacing w:before="240" w:line="260" w:lineRule="atLeast"/>
      <w:jc w:val="both"/>
      <w:outlineLvl w:val="2"/>
    </w:pPr>
    <w:rPr>
      <w:rFonts w:eastAsia="SimSun"/>
      <w:sz w:val="22"/>
      <w:szCs w:val="22"/>
      <w:lang w:val="en-GB"/>
    </w:rPr>
  </w:style>
  <w:style w:type="paragraph" w:styleId="AOHead4" w:customStyle="1">
    <w:name w:val="AOHead4"/>
    <w:basedOn w:val="Normal"/>
    <w:next w:val="Normal"/>
    <w:rsid w:val="008847A1"/>
    <w:pPr>
      <w:numPr>
        <w:ilvl w:val="3"/>
        <w:numId w:val="12"/>
      </w:numPr>
      <w:spacing w:before="240" w:line="260" w:lineRule="atLeast"/>
      <w:jc w:val="both"/>
      <w:outlineLvl w:val="3"/>
    </w:pPr>
    <w:rPr>
      <w:rFonts w:eastAsia="SimSun"/>
      <w:sz w:val="22"/>
      <w:szCs w:val="22"/>
      <w:lang w:val="en-GB"/>
    </w:rPr>
  </w:style>
  <w:style w:type="paragraph" w:styleId="AOHead5" w:customStyle="1">
    <w:name w:val="AOHead5"/>
    <w:basedOn w:val="Normal"/>
    <w:next w:val="Normal"/>
    <w:rsid w:val="008847A1"/>
    <w:pPr>
      <w:numPr>
        <w:ilvl w:val="4"/>
        <w:numId w:val="12"/>
      </w:numPr>
      <w:spacing w:before="240" w:line="260" w:lineRule="atLeast"/>
      <w:jc w:val="both"/>
      <w:outlineLvl w:val="4"/>
    </w:pPr>
    <w:rPr>
      <w:rFonts w:eastAsia="SimSun"/>
      <w:sz w:val="22"/>
      <w:szCs w:val="22"/>
      <w:lang w:val="en-GB"/>
    </w:rPr>
  </w:style>
  <w:style w:type="paragraph" w:styleId="AOHead6" w:customStyle="1">
    <w:name w:val="AOHead6"/>
    <w:basedOn w:val="Normal"/>
    <w:next w:val="Normal"/>
    <w:rsid w:val="008847A1"/>
    <w:pPr>
      <w:numPr>
        <w:ilvl w:val="5"/>
        <w:numId w:val="12"/>
      </w:numPr>
      <w:spacing w:before="240" w:line="260" w:lineRule="atLeast"/>
      <w:jc w:val="both"/>
      <w:outlineLvl w:val="5"/>
    </w:pPr>
    <w:rPr>
      <w:rFonts w:eastAsia="SimSun"/>
      <w:sz w:val="22"/>
      <w:szCs w:val="22"/>
      <w:lang w:val="en-GB"/>
    </w:rPr>
  </w:style>
  <w:style w:type="paragraph" w:styleId="xmsolistparagraph" w:customStyle="1">
    <w:name w:val="x_msolistparagraph"/>
    <w:basedOn w:val="Normal"/>
    <w:rsid w:val="00167CD1"/>
    <w:pPr>
      <w:spacing w:after="140" w:line="280" w:lineRule="atLeast"/>
      <w:ind w:left="720"/>
    </w:pPr>
    <w:rPr>
      <w:rFonts w:eastAsia="Calibri"/>
      <w:sz w:val="20"/>
      <w:szCs w:val="20"/>
    </w:rPr>
  </w:style>
  <w:style w:type="paragraph" w:styleId="Revision">
    <w:name w:val="Revision"/>
    <w:hidden/>
    <w:uiPriority w:val="99"/>
    <w:semiHidden/>
    <w:rsid w:val="009969DB"/>
    <w:pPr>
      <w:spacing w:after="0" w:line="240" w:lineRule="auto"/>
    </w:pPr>
    <w:rPr>
      <w:rFonts w:ascii="Times New Roman" w:hAnsi="Times New Roman" w:eastAsia="Times New Roman" w:cs="Times New Roman"/>
      <w:sz w:val="24"/>
      <w:szCs w:val="24"/>
      <w:lang w:val="en-US"/>
    </w:rPr>
  </w:style>
  <w:style w:type="paragraph" w:styleId="BodyText">
    <w:name w:val="Body Text"/>
    <w:basedOn w:val="Normal"/>
    <w:link w:val="BodyTextChar"/>
    <w:rsid w:val="00B431B4"/>
    <w:pPr>
      <w:jc w:val="both"/>
    </w:pPr>
    <w:rPr>
      <w:rFonts w:ascii="Arial" w:hAnsi="Arial"/>
      <w:sz w:val="18"/>
      <w:szCs w:val="20"/>
    </w:rPr>
  </w:style>
  <w:style w:type="character" w:styleId="BodyTextChar" w:customStyle="1">
    <w:name w:val="Body Text Char"/>
    <w:basedOn w:val="DefaultParagraphFont"/>
    <w:link w:val="BodyText"/>
    <w:rsid w:val="00B431B4"/>
    <w:rPr>
      <w:rFonts w:ascii="Arial" w:hAnsi="Arial" w:eastAsia="Times New Roman" w:cs="Times New Roman"/>
      <w:sz w:val="18"/>
      <w:szCs w:val="20"/>
      <w:lang w:val="en-US"/>
    </w:rPr>
  </w:style>
  <w:style w:type="character" w:styleId="CommentReference">
    <w:name w:val="annotation reference"/>
    <w:basedOn w:val="DefaultParagraphFont"/>
    <w:uiPriority w:val="99"/>
    <w:semiHidden/>
    <w:unhideWhenUsed/>
    <w:rsid w:val="004E1521"/>
    <w:rPr>
      <w:sz w:val="16"/>
      <w:szCs w:val="16"/>
    </w:rPr>
  </w:style>
  <w:style w:type="paragraph" w:styleId="CommentText">
    <w:name w:val="annotation text"/>
    <w:basedOn w:val="Normal"/>
    <w:link w:val="CommentTextChar"/>
    <w:uiPriority w:val="99"/>
    <w:unhideWhenUsed/>
    <w:rsid w:val="004E1521"/>
    <w:rPr>
      <w:sz w:val="20"/>
      <w:szCs w:val="20"/>
    </w:rPr>
  </w:style>
  <w:style w:type="character" w:styleId="CommentTextChar" w:customStyle="1">
    <w:name w:val="Comment Text Char"/>
    <w:basedOn w:val="DefaultParagraphFont"/>
    <w:link w:val="CommentText"/>
    <w:uiPriority w:val="99"/>
    <w:rsid w:val="004E1521"/>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1521"/>
    <w:rPr>
      <w:b/>
      <w:bCs/>
    </w:rPr>
  </w:style>
  <w:style w:type="character" w:styleId="CommentSubjectChar" w:customStyle="1">
    <w:name w:val="Comment Subject Char"/>
    <w:basedOn w:val="CommentTextChar"/>
    <w:link w:val="CommentSubject"/>
    <w:uiPriority w:val="99"/>
    <w:semiHidden/>
    <w:rsid w:val="004E1521"/>
    <w:rPr>
      <w:rFonts w:ascii="Times New Roman" w:hAnsi="Times New Roman" w:eastAsia="Times New Roman" w:cs="Times New Roman"/>
      <w:b/>
      <w:bCs/>
      <w:sz w:val="20"/>
      <w:szCs w:val="20"/>
      <w:lang w:val="en-US"/>
    </w:rPr>
  </w:style>
  <w:style w:type="character" w:styleId="ListParagraphChar" w:customStyle="1">
    <w:name w:val="List Paragraph Char"/>
    <w:aliases w:val="Paragraphe EI Char,Paragraphe de liste1 Char,EC Char,Paragraphe de liste Char,Normal bullet 2 Char,List Paragraph3 Char,List Paragraph Main Char,List first level Char,Bullet1 Char,List Paragraph3 Caracter Char,Bullet List Char"/>
    <w:link w:val="ListParagraph"/>
    <w:uiPriority w:val="34"/>
    <w:locked/>
    <w:rsid w:val="00B3589B"/>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6141">
      <w:bodyDiv w:val="1"/>
      <w:marLeft w:val="0"/>
      <w:marRight w:val="0"/>
      <w:marTop w:val="0"/>
      <w:marBottom w:val="0"/>
      <w:divBdr>
        <w:top w:val="none" w:sz="0" w:space="0" w:color="auto"/>
        <w:left w:val="none" w:sz="0" w:space="0" w:color="auto"/>
        <w:bottom w:val="none" w:sz="0" w:space="0" w:color="auto"/>
        <w:right w:val="none" w:sz="0" w:space="0" w:color="auto"/>
      </w:divBdr>
    </w:div>
    <w:div w:id="756294939">
      <w:bodyDiv w:val="1"/>
      <w:marLeft w:val="0"/>
      <w:marRight w:val="0"/>
      <w:marTop w:val="0"/>
      <w:marBottom w:val="0"/>
      <w:divBdr>
        <w:top w:val="none" w:sz="0" w:space="0" w:color="auto"/>
        <w:left w:val="none" w:sz="0" w:space="0" w:color="auto"/>
        <w:bottom w:val="none" w:sz="0" w:space="0" w:color="auto"/>
        <w:right w:val="none" w:sz="0" w:space="0" w:color="auto"/>
      </w:divBdr>
    </w:div>
    <w:div w:id="846554433">
      <w:bodyDiv w:val="1"/>
      <w:marLeft w:val="0"/>
      <w:marRight w:val="0"/>
      <w:marTop w:val="0"/>
      <w:marBottom w:val="0"/>
      <w:divBdr>
        <w:top w:val="none" w:sz="0" w:space="0" w:color="auto"/>
        <w:left w:val="none" w:sz="0" w:space="0" w:color="auto"/>
        <w:bottom w:val="none" w:sz="0" w:space="0" w:color="auto"/>
        <w:right w:val="none" w:sz="0" w:space="0" w:color="auto"/>
      </w:divBdr>
    </w:div>
    <w:div w:id="875197473">
      <w:bodyDiv w:val="1"/>
      <w:marLeft w:val="0"/>
      <w:marRight w:val="0"/>
      <w:marTop w:val="0"/>
      <w:marBottom w:val="0"/>
      <w:divBdr>
        <w:top w:val="none" w:sz="0" w:space="0" w:color="auto"/>
        <w:left w:val="none" w:sz="0" w:space="0" w:color="auto"/>
        <w:bottom w:val="none" w:sz="0" w:space="0" w:color="auto"/>
        <w:right w:val="none" w:sz="0" w:space="0" w:color="auto"/>
      </w:divBdr>
    </w:div>
    <w:div w:id="891618702">
      <w:bodyDiv w:val="1"/>
      <w:marLeft w:val="0"/>
      <w:marRight w:val="0"/>
      <w:marTop w:val="0"/>
      <w:marBottom w:val="0"/>
      <w:divBdr>
        <w:top w:val="none" w:sz="0" w:space="0" w:color="auto"/>
        <w:left w:val="none" w:sz="0" w:space="0" w:color="auto"/>
        <w:bottom w:val="none" w:sz="0" w:space="0" w:color="auto"/>
        <w:right w:val="none" w:sz="0" w:space="0" w:color="auto"/>
      </w:divBdr>
    </w:div>
    <w:div w:id="954021848">
      <w:bodyDiv w:val="1"/>
      <w:marLeft w:val="0"/>
      <w:marRight w:val="0"/>
      <w:marTop w:val="0"/>
      <w:marBottom w:val="0"/>
      <w:divBdr>
        <w:top w:val="none" w:sz="0" w:space="0" w:color="auto"/>
        <w:left w:val="none" w:sz="0" w:space="0" w:color="auto"/>
        <w:bottom w:val="none" w:sz="0" w:space="0" w:color="auto"/>
        <w:right w:val="none" w:sz="0" w:space="0" w:color="auto"/>
      </w:divBdr>
    </w:div>
    <w:div w:id="1346131853">
      <w:bodyDiv w:val="1"/>
      <w:marLeft w:val="0"/>
      <w:marRight w:val="0"/>
      <w:marTop w:val="0"/>
      <w:marBottom w:val="0"/>
      <w:divBdr>
        <w:top w:val="none" w:sz="0" w:space="0" w:color="auto"/>
        <w:left w:val="none" w:sz="0" w:space="0" w:color="auto"/>
        <w:bottom w:val="none" w:sz="0" w:space="0" w:color="auto"/>
        <w:right w:val="none" w:sz="0" w:space="0" w:color="auto"/>
      </w:divBdr>
    </w:div>
    <w:div w:id="1532574162">
      <w:bodyDiv w:val="1"/>
      <w:marLeft w:val="0"/>
      <w:marRight w:val="0"/>
      <w:marTop w:val="0"/>
      <w:marBottom w:val="0"/>
      <w:divBdr>
        <w:top w:val="none" w:sz="0" w:space="0" w:color="auto"/>
        <w:left w:val="none" w:sz="0" w:space="0" w:color="auto"/>
        <w:bottom w:val="none" w:sz="0" w:space="0" w:color="auto"/>
        <w:right w:val="none" w:sz="0" w:space="0" w:color="auto"/>
      </w:divBdr>
    </w:div>
    <w:div w:id="15714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5" ma:contentTypeDescription="Create a new document." ma:contentTypeScope="" ma:versionID="029aa4a0d45e14b2175b5af3cf8570a7">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c3c979aff5808eea5c384ceb49b95ed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8250B-E8A1-488C-A58A-4DC2FA2D4F5A}">
  <ds:schemaRefs>
    <ds:schemaRef ds:uri="http://schemas.microsoft.com/office/2006/metadata/properties"/>
    <ds:schemaRef ds:uri="http://schemas.microsoft.com/office/infopath/2007/PartnerControls"/>
    <ds:schemaRef ds:uri="b79bf85d-9655-4b5f-a5f0-28aef295819f"/>
    <ds:schemaRef ds:uri="f1d524b2-95cc-4e42-89be-c032122d223d"/>
  </ds:schemaRefs>
</ds:datastoreItem>
</file>

<file path=customXml/itemProps2.xml><?xml version="1.0" encoding="utf-8"?>
<ds:datastoreItem xmlns:ds="http://schemas.openxmlformats.org/officeDocument/2006/customXml" ds:itemID="{C49D1609-DC47-41A9-A4BB-95AAC15C2E86}">
  <ds:schemaRefs>
    <ds:schemaRef ds:uri="http://schemas.microsoft.com/sharepoint/v3/contenttype/forms"/>
  </ds:schemaRefs>
</ds:datastoreItem>
</file>

<file path=customXml/itemProps3.xml><?xml version="1.0" encoding="utf-8"?>
<ds:datastoreItem xmlns:ds="http://schemas.openxmlformats.org/officeDocument/2006/customXml" ds:itemID="{209AFB71-5EC3-4C3E-9C94-4FA26EBFC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Special PoA_Legal entities_EGMS</dc:title>
  <dc:creator>Cazan, Teodora</dc:creator>
  <lastModifiedBy>Alexandra Niculae</lastModifiedBy>
  <revision>63</revision>
  <dcterms:created xsi:type="dcterms:W3CDTF">2023-09-07T14:31:00.0000000Z</dcterms:created>
  <dcterms:modified xsi:type="dcterms:W3CDTF">2025-10-09T08:58:38.2498649Z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0x0101006D20BA53DBDCA54B8DACFDAEE654F3A9</vt:lpwstr>
  </property>
  <property fmtid="{D5CDD505-2E9C-101B-9397-08002B2CF9AE}" pid="3" name="MediaServiceImageTags">
    <vt:lpwstr/>
  </property>
</Properties>
</file>