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7E6F" w:rsidR="00E91B01" w:rsidP="00E91B01" w:rsidRDefault="00E91B01" w14:paraId="37766E66" w14:textId="77777777">
      <w:pPr>
        <w:autoSpaceDE w:val="0"/>
        <w:autoSpaceDN w:val="0"/>
        <w:adjustRightInd w:val="0"/>
        <w:jc w:val="center"/>
        <w:rPr>
          <w:b/>
          <w:sz w:val="22"/>
          <w:szCs w:val="22"/>
          <w:lang w:val="en-GB"/>
        </w:rPr>
      </w:pPr>
      <w:r w:rsidRPr="00FE7E6F">
        <w:rPr>
          <w:b/>
          <w:sz w:val="22"/>
          <w:szCs w:val="22"/>
          <w:lang w:val="en-GB"/>
        </w:rPr>
        <w:t xml:space="preserve">Special power of attorney </w:t>
      </w:r>
    </w:p>
    <w:p w:rsidRPr="00FE7E6F" w:rsidR="00E91B01" w:rsidP="00E91B01" w:rsidRDefault="00E91B01" w14:paraId="55760F60" w14:textId="77777777">
      <w:pPr>
        <w:autoSpaceDE w:val="0"/>
        <w:autoSpaceDN w:val="0"/>
        <w:adjustRightInd w:val="0"/>
        <w:jc w:val="center"/>
        <w:rPr>
          <w:sz w:val="22"/>
          <w:szCs w:val="22"/>
          <w:lang w:val="en-GB"/>
        </w:rPr>
      </w:pPr>
      <w:r w:rsidRPr="00FE7E6F">
        <w:rPr>
          <w:b/>
          <w:sz w:val="22"/>
          <w:szCs w:val="22"/>
          <w:lang w:val="en-GB"/>
        </w:rPr>
        <w:t>for individual shareholders</w:t>
      </w:r>
    </w:p>
    <w:p w:rsidRPr="00FE7E6F" w:rsidR="00E91B01" w:rsidP="00E91B01" w:rsidRDefault="00E91B01" w14:paraId="76DBA18F" w14:textId="428A9FFA">
      <w:pPr>
        <w:autoSpaceDE w:val="0"/>
        <w:autoSpaceDN w:val="0"/>
        <w:adjustRightInd w:val="0"/>
        <w:jc w:val="center"/>
        <w:rPr>
          <w:sz w:val="22"/>
          <w:szCs w:val="22"/>
          <w:lang w:val="en-GB"/>
        </w:rPr>
      </w:pPr>
      <w:r w:rsidRPr="00FE7E6F">
        <w:rPr>
          <w:sz w:val="22"/>
          <w:szCs w:val="22"/>
          <w:lang w:val="en-GB"/>
        </w:rPr>
        <w:t xml:space="preserve">for the </w:t>
      </w:r>
      <w:r w:rsidR="007510DE">
        <w:rPr>
          <w:sz w:val="22"/>
          <w:szCs w:val="22"/>
          <w:lang w:val="en-GB"/>
        </w:rPr>
        <w:t>O</w:t>
      </w:r>
      <w:r w:rsidRPr="00FE7E6F">
        <w:rPr>
          <w:sz w:val="22"/>
          <w:szCs w:val="22"/>
          <w:lang w:val="en-GB"/>
        </w:rPr>
        <w:t>rdinary General Meeting of Shareholders of</w:t>
      </w:r>
      <w:r w:rsidR="00A526A1">
        <w:rPr>
          <w:sz w:val="22"/>
          <w:szCs w:val="22"/>
          <w:lang w:val="en-GB"/>
        </w:rPr>
        <w:t xml:space="preserve"> </w:t>
      </w:r>
      <w:r w:rsidRPr="00FE7E6F">
        <w:rPr>
          <w:sz w:val="22"/>
          <w:szCs w:val="22"/>
          <w:lang w:val="en-GB"/>
        </w:rPr>
        <w:t xml:space="preserve">Fondul Proprietatea SA </w:t>
      </w:r>
    </w:p>
    <w:p w:rsidR="00A526A1" w:rsidP="00A526A1" w:rsidRDefault="00A526A1" w14:paraId="1BAC1B17" w14:textId="029EED7E">
      <w:pPr>
        <w:jc w:val="center"/>
        <w:rPr>
          <w:sz w:val="22"/>
          <w:szCs w:val="22"/>
          <w:lang w:val="en-GB"/>
        </w:rPr>
      </w:pPr>
      <w:r w:rsidRPr="008713B0">
        <w:rPr>
          <w:sz w:val="22"/>
          <w:szCs w:val="22"/>
          <w:lang w:val="en-GB"/>
        </w:rPr>
        <w:t xml:space="preserve">of </w:t>
      </w:r>
      <w:r>
        <w:rPr>
          <w:sz w:val="22"/>
          <w:szCs w:val="22"/>
          <w:lang w:val="en-GB"/>
        </w:rPr>
        <w:t>2</w:t>
      </w:r>
      <w:r w:rsidR="007A6573">
        <w:rPr>
          <w:sz w:val="22"/>
          <w:szCs w:val="22"/>
          <w:lang w:val="en-GB"/>
        </w:rPr>
        <w:t>9/30 April 2025</w:t>
      </w:r>
    </w:p>
    <w:p w:rsidR="00A526A1" w:rsidP="00A526A1" w:rsidRDefault="00A526A1" w14:paraId="34980BC3" w14:textId="77777777">
      <w:pPr>
        <w:jc w:val="center"/>
        <w:rPr>
          <w:sz w:val="22"/>
          <w:szCs w:val="22"/>
          <w:lang w:val="en-GB"/>
        </w:rPr>
      </w:pPr>
      <w:r>
        <w:rPr>
          <w:sz w:val="22"/>
          <w:szCs w:val="22"/>
          <w:lang w:val="en-GB"/>
        </w:rPr>
        <w:t>valid for the first and second convening</w:t>
      </w:r>
    </w:p>
    <w:p w:rsidRPr="00FE7E6F" w:rsidR="00E91B01" w:rsidP="00E91B01" w:rsidRDefault="00AA6092" w14:paraId="62D1D652" w14:textId="41266E40">
      <w:pPr>
        <w:jc w:val="center"/>
        <w:rPr>
          <w:sz w:val="22"/>
          <w:szCs w:val="22"/>
          <w:lang w:val="en-GB"/>
        </w:rPr>
      </w:pPr>
      <w:r w:rsidRPr="00FE7E6F">
        <w:rPr>
          <w:sz w:val="22"/>
          <w:szCs w:val="22"/>
          <w:lang w:val="en-GB"/>
        </w:rPr>
        <w:t>(</w:t>
      </w:r>
      <w:r>
        <w:rPr>
          <w:sz w:val="22"/>
          <w:szCs w:val="22"/>
          <w:lang w:val="en-GB"/>
        </w:rPr>
        <w:t>“</w:t>
      </w:r>
      <w:r w:rsidRPr="00796934" w:rsidR="007510DE">
        <w:rPr>
          <w:b/>
          <w:bCs/>
          <w:sz w:val="22"/>
          <w:szCs w:val="22"/>
          <w:lang w:val="en-GB"/>
        </w:rPr>
        <w:t>O</w:t>
      </w:r>
      <w:r w:rsidRPr="00796934">
        <w:rPr>
          <w:b/>
          <w:bCs/>
          <w:sz w:val="22"/>
          <w:szCs w:val="22"/>
          <w:lang w:val="en-GB"/>
        </w:rPr>
        <w:t>GMS</w:t>
      </w:r>
      <w:r>
        <w:rPr>
          <w:sz w:val="22"/>
          <w:szCs w:val="22"/>
          <w:lang w:val="en-GB"/>
        </w:rPr>
        <w:t>”</w:t>
      </w:r>
      <w:r w:rsidRPr="00FE7E6F">
        <w:rPr>
          <w:sz w:val="22"/>
          <w:szCs w:val="22"/>
          <w:lang w:val="en-GB"/>
        </w:rPr>
        <w:t>)</w:t>
      </w:r>
    </w:p>
    <w:p w:rsidRPr="0096187D" w:rsidR="00AB2696" w:rsidP="0096187D" w:rsidRDefault="0096187D" w14:paraId="774BE8A3" w14:textId="4415B3E7">
      <w:pPr>
        <w:jc w:val="center"/>
        <w:rPr>
          <w:sz w:val="22"/>
          <w:szCs w:val="22"/>
          <w:lang w:val="en-GB"/>
        </w:rPr>
      </w:pPr>
      <w:r w:rsidRPr="0096187D">
        <w:rPr>
          <w:i/>
          <w:sz w:val="22"/>
          <w:szCs w:val="22"/>
          <w:lang w:val="en-GB"/>
        </w:rPr>
        <w:t>-</w:t>
      </w:r>
      <w:r>
        <w:rPr>
          <w:i/>
          <w:sz w:val="22"/>
          <w:szCs w:val="22"/>
          <w:lang w:val="en-GB"/>
        </w:rPr>
        <w:t xml:space="preserve"> </w:t>
      </w:r>
      <w:r w:rsidR="00297D10">
        <w:rPr>
          <w:i/>
          <w:sz w:val="22"/>
          <w:szCs w:val="22"/>
          <w:lang w:val="en-GB"/>
        </w:rPr>
        <w:t>i</w:t>
      </w:r>
      <w:r w:rsidRPr="0096187D" w:rsidR="00AB2696">
        <w:rPr>
          <w:i/>
          <w:sz w:val="22"/>
          <w:szCs w:val="22"/>
          <w:lang w:val="en-GB"/>
        </w:rPr>
        <w:t xml:space="preserve">ndicative </w:t>
      </w:r>
      <w:r w:rsidRPr="0096187D" w:rsidR="003949D8">
        <w:rPr>
          <w:i/>
          <w:sz w:val="22"/>
          <w:szCs w:val="22"/>
          <w:lang w:val="en-GB"/>
        </w:rPr>
        <w:t>form</w:t>
      </w:r>
      <w:r w:rsidRPr="0096187D" w:rsidR="00AA6092">
        <w:rPr>
          <w:i/>
          <w:sz w:val="22"/>
          <w:szCs w:val="22"/>
          <w:lang w:val="en-GB"/>
        </w:rPr>
        <w:t>–</w:t>
      </w:r>
    </w:p>
    <w:p w:rsidRPr="00FE7E6F" w:rsidR="00E91B01" w:rsidP="00E91B01" w:rsidRDefault="00E91B01" w14:paraId="2717ECDF" w14:textId="77777777">
      <w:pPr>
        <w:autoSpaceDE w:val="0"/>
        <w:autoSpaceDN w:val="0"/>
        <w:adjustRightInd w:val="0"/>
        <w:jc w:val="both"/>
        <w:rPr>
          <w:sz w:val="22"/>
          <w:szCs w:val="22"/>
          <w:lang w:val="en-GB"/>
        </w:rPr>
      </w:pPr>
    </w:p>
    <w:p w:rsidRPr="00FE7E6F" w:rsidR="00E91B01" w:rsidP="00E91B01" w:rsidRDefault="00E91B01" w14:paraId="5BE6DBC3" w14:textId="77777777">
      <w:pPr>
        <w:autoSpaceDE w:val="0"/>
        <w:autoSpaceDN w:val="0"/>
        <w:adjustRightInd w:val="0"/>
        <w:jc w:val="both"/>
        <w:rPr>
          <w:sz w:val="22"/>
          <w:szCs w:val="22"/>
          <w:lang w:val="en-GB"/>
        </w:rPr>
      </w:pPr>
      <w:r w:rsidRPr="00FE7E6F">
        <w:rPr>
          <w:sz w:val="22"/>
          <w:szCs w:val="22"/>
          <w:lang w:val="en-GB"/>
        </w:rPr>
        <w:t>I, the undersigned, [________________________________],</w:t>
      </w:r>
    </w:p>
    <w:p w:rsidRPr="00FE7E6F" w:rsidR="00E91B01" w:rsidP="00E91B01" w:rsidRDefault="00E91B01" w14:paraId="34546A29" w14:textId="2F430185">
      <w:pPr>
        <w:autoSpaceDE w:val="0"/>
        <w:autoSpaceDN w:val="0"/>
        <w:adjustRightInd w:val="0"/>
        <w:jc w:val="both"/>
        <w:rPr>
          <w:color w:val="808080"/>
          <w:sz w:val="22"/>
          <w:szCs w:val="22"/>
          <w:lang w:val="en-GB"/>
        </w:rPr>
      </w:pPr>
      <w:r w:rsidRPr="00FE7E6F">
        <w:rPr>
          <w:color w:val="808080"/>
          <w:sz w:val="22"/>
          <w:szCs w:val="22"/>
          <w:lang w:val="en-GB"/>
        </w:rPr>
        <w:t>(</w:t>
      </w:r>
      <w:r w:rsidRPr="00FE7E6F">
        <w:rPr>
          <w:b/>
          <w:color w:val="808080"/>
          <w:sz w:val="22"/>
          <w:szCs w:val="22"/>
          <w:lang w:val="en-GB"/>
        </w:rPr>
        <w:t>ATTENTION</w:t>
      </w:r>
      <w:r w:rsidRPr="00FE7E6F">
        <w:rPr>
          <w:color w:val="808080"/>
          <w:sz w:val="22"/>
          <w:szCs w:val="22"/>
          <w:lang w:val="en-GB"/>
        </w:rPr>
        <w:t xml:space="preserve">! </w:t>
      </w:r>
      <w:r w:rsidRPr="00FE7E6F" w:rsidR="00AA6092">
        <w:rPr>
          <w:color w:val="808080"/>
          <w:sz w:val="22"/>
          <w:szCs w:val="22"/>
          <w:lang w:val="en-GB"/>
        </w:rPr>
        <w:t>T</w:t>
      </w:r>
      <w:r w:rsidRPr="00FE7E6F">
        <w:rPr>
          <w:color w:val="808080"/>
          <w:sz w:val="22"/>
          <w:szCs w:val="22"/>
          <w:lang w:val="en-GB"/>
        </w:rPr>
        <w:t>o be filled in with the first and last name of the individual shareholder)</w:t>
      </w:r>
    </w:p>
    <w:p w:rsidRPr="00FE7E6F" w:rsidR="00E91B01" w:rsidP="00E91B01" w:rsidRDefault="00E91B01" w14:paraId="25797B7E" w14:textId="77777777">
      <w:pPr>
        <w:autoSpaceDE w:val="0"/>
        <w:autoSpaceDN w:val="0"/>
        <w:adjustRightInd w:val="0"/>
        <w:jc w:val="both"/>
        <w:rPr>
          <w:sz w:val="22"/>
          <w:szCs w:val="22"/>
          <w:lang w:val="en-GB"/>
        </w:rPr>
      </w:pPr>
    </w:p>
    <w:p w:rsidRPr="00FE7E6F" w:rsidR="00E91B01" w:rsidP="00E91B01" w:rsidRDefault="00E91B01" w14:paraId="40834706" w14:textId="77777777">
      <w:pPr>
        <w:autoSpaceDE w:val="0"/>
        <w:autoSpaceDN w:val="0"/>
        <w:adjustRightInd w:val="0"/>
        <w:jc w:val="both"/>
        <w:rPr>
          <w:sz w:val="22"/>
          <w:szCs w:val="22"/>
          <w:lang w:val="en-GB"/>
        </w:rPr>
      </w:pPr>
      <w:r w:rsidRPr="00FE7E6F">
        <w:rPr>
          <w:sz w:val="22"/>
          <w:szCs w:val="22"/>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rsidRPr="00FE7E6F" w:rsidR="00E91B01" w:rsidP="00E91B01" w:rsidRDefault="00E91B01" w14:paraId="07487824" w14:textId="77777777">
      <w:pPr>
        <w:autoSpaceDE w:val="0"/>
        <w:autoSpaceDN w:val="0"/>
        <w:adjustRightInd w:val="0"/>
        <w:jc w:val="both"/>
        <w:rPr>
          <w:sz w:val="22"/>
          <w:szCs w:val="22"/>
          <w:lang w:val="en-GB"/>
        </w:rPr>
      </w:pPr>
    </w:p>
    <w:p w:rsidRPr="00FE7E6F" w:rsidR="00E91B01" w:rsidP="00E91B01" w:rsidRDefault="00E91B01" w14:paraId="0235B115" w14:textId="3C331A60">
      <w:pPr>
        <w:autoSpaceDE w:val="0"/>
        <w:autoSpaceDN w:val="0"/>
        <w:adjustRightInd w:val="0"/>
        <w:jc w:val="both"/>
        <w:rPr>
          <w:sz w:val="22"/>
          <w:szCs w:val="22"/>
          <w:lang w:val="en-GB"/>
        </w:rPr>
      </w:pPr>
      <w:r w:rsidRPr="00FE7E6F">
        <w:rPr>
          <w:sz w:val="22"/>
          <w:szCs w:val="22"/>
          <w:lang w:val="en-GB"/>
        </w:rPr>
        <w:t>holding a number of [__________________] shares representing [___] % from a total of [__________________] shares issued by FONDUL PROPRIETATEA S.A., registered with the Bucharest Trade Registry under no. J40/21901/28.12.2005, having sole registration code 18253260, headquartered in Buzeşti Street 7</w:t>
      </w:r>
      <w:r w:rsidRPr="00FE7E6F" w:rsidR="00B2452B">
        <w:rPr>
          <w:sz w:val="22"/>
          <w:szCs w:val="22"/>
          <w:lang w:val="en-GB"/>
        </w:rPr>
        <w:t>6</w:t>
      </w:r>
      <w:r w:rsidRPr="00FE7E6F">
        <w:rPr>
          <w:sz w:val="22"/>
          <w:szCs w:val="22"/>
          <w:lang w:val="en-GB"/>
        </w:rPr>
        <w:t>-80, 7</w:t>
      </w:r>
      <w:r w:rsidRPr="00FE7E6F">
        <w:rPr>
          <w:sz w:val="22"/>
          <w:szCs w:val="22"/>
          <w:vertAlign w:val="superscript"/>
          <w:lang w:val="en-GB"/>
        </w:rPr>
        <w:t>th</w:t>
      </w:r>
      <w:r w:rsidRPr="00FE7E6F">
        <w:rPr>
          <w:sz w:val="22"/>
          <w:szCs w:val="22"/>
          <w:lang w:val="en-GB"/>
        </w:rPr>
        <w:t xml:space="preserve"> floor, 1</w:t>
      </w:r>
      <w:r w:rsidRPr="0096187D">
        <w:rPr>
          <w:sz w:val="22"/>
          <w:szCs w:val="22"/>
          <w:vertAlign w:val="superscript"/>
          <w:lang w:val="en-GB"/>
        </w:rPr>
        <w:t>st</w:t>
      </w:r>
      <w:r w:rsidRPr="00FE7E6F">
        <w:rPr>
          <w:sz w:val="22"/>
          <w:szCs w:val="22"/>
          <w:lang w:val="en-GB"/>
        </w:rPr>
        <w:t xml:space="preserve"> District, Bucharest 011017, Romania (the </w:t>
      </w:r>
      <w:r w:rsidRPr="00FE7E6F">
        <w:rPr>
          <w:b/>
          <w:sz w:val="22"/>
          <w:szCs w:val="22"/>
          <w:lang w:val="en-GB"/>
        </w:rPr>
        <w:t>Company</w:t>
      </w:r>
      <w:r w:rsidRPr="00FE7E6F">
        <w:rPr>
          <w:sz w:val="22"/>
          <w:szCs w:val="22"/>
          <w:lang w:val="en-GB"/>
        </w:rPr>
        <w:t xml:space="preserve">), </w:t>
      </w:r>
    </w:p>
    <w:p w:rsidRPr="00FE7E6F" w:rsidR="00E91B01" w:rsidP="00E91B01" w:rsidRDefault="00E91B01" w14:paraId="60D7285A" w14:textId="77777777">
      <w:pPr>
        <w:autoSpaceDE w:val="0"/>
        <w:autoSpaceDN w:val="0"/>
        <w:adjustRightInd w:val="0"/>
        <w:jc w:val="both"/>
        <w:rPr>
          <w:sz w:val="22"/>
          <w:szCs w:val="22"/>
          <w:lang w:val="en-GB"/>
        </w:rPr>
      </w:pPr>
    </w:p>
    <w:p w:rsidRPr="00FE7E6F" w:rsidR="00E91B01" w:rsidP="00E91B01" w:rsidRDefault="00E91B01" w14:paraId="1748E6CC" w14:textId="78987723">
      <w:pPr>
        <w:autoSpaceDE w:val="0"/>
        <w:autoSpaceDN w:val="0"/>
        <w:adjustRightInd w:val="0"/>
        <w:jc w:val="both"/>
        <w:rPr>
          <w:sz w:val="22"/>
          <w:szCs w:val="22"/>
          <w:lang w:val="en-GB"/>
        </w:rPr>
      </w:pPr>
      <w:r w:rsidRPr="00FE7E6F">
        <w:rPr>
          <w:sz w:val="22"/>
          <w:szCs w:val="22"/>
          <w:lang w:val="en-GB"/>
        </w:rPr>
        <w:t xml:space="preserve">which entitles me to a number of [____] voting rights, representing [____] % of the paid-up share capital and [____]% of the total voting rights in </w:t>
      </w:r>
      <w:r w:rsidR="007510DE">
        <w:rPr>
          <w:sz w:val="22"/>
          <w:szCs w:val="22"/>
          <w:lang w:val="en-GB"/>
        </w:rPr>
        <w:t>OGMS</w:t>
      </w:r>
      <w:r w:rsidRPr="00FE7E6F">
        <w:rPr>
          <w:sz w:val="22"/>
          <w:szCs w:val="22"/>
          <w:lang w:val="en-GB"/>
        </w:rPr>
        <w:t>,</w:t>
      </w:r>
    </w:p>
    <w:p w:rsidRPr="00FE7E6F" w:rsidR="00E91B01" w:rsidP="00E91B01" w:rsidRDefault="00E91B01" w14:paraId="62CAF081" w14:textId="77777777">
      <w:pPr>
        <w:autoSpaceDE w:val="0"/>
        <w:autoSpaceDN w:val="0"/>
        <w:adjustRightInd w:val="0"/>
        <w:jc w:val="both"/>
        <w:rPr>
          <w:sz w:val="22"/>
          <w:szCs w:val="22"/>
          <w:lang w:val="en-GB"/>
        </w:rPr>
      </w:pPr>
    </w:p>
    <w:p w:rsidRPr="00FE7E6F" w:rsidR="00E91B01" w:rsidP="00E91B01" w:rsidRDefault="00E91B01" w14:paraId="1E79813F" w14:textId="77777777">
      <w:pPr>
        <w:autoSpaceDE w:val="0"/>
        <w:autoSpaceDN w:val="0"/>
        <w:adjustRightInd w:val="0"/>
        <w:jc w:val="both"/>
        <w:rPr>
          <w:sz w:val="22"/>
          <w:szCs w:val="22"/>
          <w:lang w:val="en-GB"/>
        </w:rPr>
      </w:pPr>
      <w:r w:rsidRPr="00FE7E6F">
        <w:rPr>
          <w:sz w:val="22"/>
          <w:szCs w:val="22"/>
          <w:lang w:val="en-GB"/>
        </w:rPr>
        <w:t xml:space="preserve">hereby empower: </w:t>
      </w:r>
    </w:p>
    <w:p w:rsidRPr="00FE7E6F" w:rsidR="00E91B01" w:rsidP="00E91B01" w:rsidRDefault="00E91B01" w14:paraId="36601572" w14:textId="77777777">
      <w:pPr>
        <w:autoSpaceDE w:val="0"/>
        <w:autoSpaceDN w:val="0"/>
        <w:adjustRightInd w:val="0"/>
        <w:jc w:val="both"/>
        <w:rPr>
          <w:sz w:val="22"/>
          <w:szCs w:val="22"/>
          <w:lang w:val="en-GB"/>
        </w:rPr>
      </w:pPr>
    </w:p>
    <w:p w:rsidRPr="00FE7E6F" w:rsidR="00E91B01" w:rsidP="00E91B01" w:rsidRDefault="00E91B01" w14:paraId="1F237BCD" w14:textId="77777777">
      <w:pPr>
        <w:autoSpaceDE w:val="0"/>
        <w:autoSpaceDN w:val="0"/>
        <w:adjustRightInd w:val="0"/>
        <w:jc w:val="both"/>
        <w:rPr>
          <w:sz w:val="22"/>
          <w:szCs w:val="22"/>
          <w:lang w:val="en-GB"/>
        </w:rPr>
      </w:pPr>
      <w:r w:rsidRPr="00FE7E6F">
        <w:rPr>
          <w:sz w:val="22"/>
          <w:szCs w:val="22"/>
          <w:lang w:val="en-GB"/>
        </w:rPr>
        <w:t>[________________________________],</w:t>
      </w:r>
    </w:p>
    <w:p w:rsidRPr="00FE7E6F" w:rsidR="00E91B01" w:rsidP="00E91B01" w:rsidRDefault="00E91B01" w14:paraId="56A8E0C2" w14:textId="77777777">
      <w:pPr>
        <w:autoSpaceDE w:val="0"/>
        <w:autoSpaceDN w:val="0"/>
        <w:adjustRightInd w:val="0"/>
        <w:jc w:val="both"/>
        <w:rPr>
          <w:sz w:val="22"/>
          <w:szCs w:val="22"/>
          <w:lang w:val="en-GB"/>
        </w:rPr>
      </w:pPr>
      <w:r w:rsidRPr="00FE7E6F">
        <w:rPr>
          <w:color w:val="808080"/>
          <w:sz w:val="22"/>
          <w:szCs w:val="22"/>
          <w:lang w:val="en-GB"/>
        </w:rPr>
        <w:t>(</w:t>
      </w:r>
      <w:r w:rsidRPr="00FE7E6F">
        <w:rPr>
          <w:b/>
          <w:color w:val="808080"/>
          <w:sz w:val="22"/>
          <w:szCs w:val="22"/>
          <w:lang w:val="en-GB"/>
        </w:rPr>
        <w:t>ATTENTION</w:t>
      </w:r>
      <w:r w:rsidRPr="00FE7E6F">
        <w:rPr>
          <w:color w:val="808080"/>
          <w:sz w:val="22"/>
          <w:szCs w:val="22"/>
          <w:lang w:val="en-GB"/>
        </w:rPr>
        <w:t>! to be filled in with the first name and last name of the empowered individual being granted this power of attorney</w:t>
      </w:r>
      <w:r w:rsidRPr="00FE7E6F">
        <w:rPr>
          <w:sz w:val="22"/>
          <w:szCs w:val="22"/>
          <w:lang w:val="en-GB"/>
        </w:rPr>
        <w:t xml:space="preserve">) </w:t>
      </w:r>
    </w:p>
    <w:p w:rsidRPr="00FE7E6F" w:rsidR="00E91B01" w:rsidP="00E91B01" w:rsidRDefault="00E91B01" w14:paraId="27C34D84" w14:textId="77777777">
      <w:pPr>
        <w:autoSpaceDE w:val="0"/>
        <w:autoSpaceDN w:val="0"/>
        <w:adjustRightInd w:val="0"/>
        <w:jc w:val="both"/>
        <w:rPr>
          <w:sz w:val="22"/>
          <w:szCs w:val="22"/>
          <w:lang w:val="en-GB"/>
        </w:rPr>
      </w:pPr>
    </w:p>
    <w:p w:rsidRPr="00FE7E6F" w:rsidR="00E91B01" w:rsidP="00E91B01" w:rsidRDefault="00E91B01" w14:paraId="0A818F08" w14:textId="77777777">
      <w:pPr>
        <w:autoSpaceDE w:val="0"/>
        <w:autoSpaceDN w:val="0"/>
        <w:adjustRightInd w:val="0"/>
        <w:jc w:val="both"/>
        <w:rPr>
          <w:sz w:val="22"/>
          <w:szCs w:val="22"/>
          <w:lang w:val="en-GB"/>
        </w:rPr>
      </w:pPr>
      <w:r w:rsidRPr="00FE7E6F">
        <w:rPr>
          <w:sz w:val="22"/>
          <w:szCs w:val="22"/>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rsidRPr="00FE7E6F" w:rsidR="00E91B01" w:rsidP="00E91B01" w:rsidRDefault="00E91B01" w14:paraId="2758E3B9" w14:textId="77777777">
      <w:pPr>
        <w:autoSpaceDE w:val="0"/>
        <w:autoSpaceDN w:val="0"/>
        <w:adjustRightInd w:val="0"/>
        <w:jc w:val="both"/>
        <w:rPr>
          <w:b/>
          <w:sz w:val="22"/>
          <w:szCs w:val="22"/>
          <w:lang w:val="en-GB"/>
        </w:rPr>
      </w:pPr>
    </w:p>
    <w:p w:rsidRPr="00FE7E6F" w:rsidR="00E91B01" w:rsidP="00E91B01" w:rsidRDefault="00E91B01" w14:paraId="1825046E" w14:textId="77777777">
      <w:pPr>
        <w:autoSpaceDE w:val="0"/>
        <w:autoSpaceDN w:val="0"/>
        <w:adjustRightInd w:val="0"/>
        <w:jc w:val="both"/>
        <w:rPr>
          <w:b/>
          <w:sz w:val="22"/>
          <w:szCs w:val="22"/>
          <w:lang w:val="en-GB"/>
        </w:rPr>
      </w:pPr>
      <w:r w:rsidRPr="00FE7E6F">
        <w:rPr>
          <w:b/>
          <w:sz w:val="22"/>
          <w:szCs w:val="22"/>
          <w:lang w:val="en-GB"/>
        </w:rPr>
        <w:t>OR</w:t>
      </w:r>
    </w:p>
    <w:p w:rsidRPr="00FE7E6F" w:rsidR="00E91B01" w:rsidP="00E91B01" w:rsidRDefault="00E91B01" w14:paraId="5F27A9BB" w14:textId="77777777">
      <w:pPr>
        <w:autoSpaceDE w:val="0"/>
        <w:autoSpaceDN w:val="0"/>
        <w:adjustRightInd w:val="0"/>
        <w:jc w:val="both"/>
        <w:rPr>
          <w:b/>
          <w:sz w:val="22"/>
          <w:szCs w:val="22"/>
          <w:lang w:val="en-GB"/>
        </w:rPr>
      </w:pPr>
    </w:p>
    <w:p w:rsidRPr="00FE7E6F" w:rsidR="00E91B01" w:rsidP="00E91B01" w:rsidRDefault="00E91B01" w14:paraId="0FA74680" w14:textId="77777777">
      <w:pPr>
        <w:autoSpaceDE w:val="0"/>
        <w:autoSpaceDN w:val="0"/>
        <w:adjustRightInd w:val="0"/>
        <w:jc w:val="both"/>
        <w:rPr>
          <w:sz w:val="22"/>
          <w:szCs w:val="22"/>
          <w:lang w:val="en-GB"/>
        </w:rPr>
      </w:pPr>
      <w:r w:rsidRPr="00FE7E6F">
        <w:rPr>
          <w:sz w:val="22"/>
          <w:szCs w:val="22"/>
          <w:lang w:val="en-GB"/>
        </w:rPr>
        <w:t>[________________________________________]</w:t>
      </w:r>
    </w:p>
    <w:p w:rsidRPr="00FE7E6F" w:rsidR="00E91B01" w:rsidP="00E91B01" w:rsidRDefault="00E91B01" w14:paraId="33FD3DD2" w14:textId="77777777">
      <w:pPr>
        <w:autoSpaceDE w:val="0"/>
        <w:autoSpaceDN w:val="0"/>
        <w:adjustRightInd w:val="0"/>
        <w:jc w:val="both"/>
        <w:rPr>
          <w:color w:val="808080"/>
          <w:sz w:val="22"/>
          <w:szCs w:val="22"/>
          <w:lang w:val="en-GB"/>
        </w:rPr>
      </w:pPr>
      <w:r w:rsidRPr="00FE7E6F">
        <w:rPr>
          <w:color w:val="808080"/>
          <w:sz w:val="22"/>
          <w:szCs w:val="22"/>
          <w:lang w:val="en-GB"/>
        </w:rPr>
        <w:t>(</w:t>
      </w:r>
      <w:r w:rsidRPr="00FE7E6F">
        <w:rPr>
          <w:b/>
          <w:color w:val="808080"/>
          <w:sz w:val="22"/>
          <w:szCs w:val="22"/>
          <w:lang w:val="en-GB"/>
        </w:rPr>
        <w:t>ATTENTION</w:t>
      </w:r>
      <w:r w:rsidRPr="00FE7E6F">
        <w:rPr>
          <w:color w:val="808080"/>
          <w:sz w:val="22"/>
          <w:szCs w:val="22"/>
          <w:lang w:val="en-GB"/>
        </w:rPr>
        <w:t>! to be filled in with the legal name of the empowered legal person being granted this power of attorney)</w:t>
      </w:r>
    </w:p>
    <w:p w:rsidRPr="00FE7E6F" w:rsidR="00E91B01" w:rsidP="00E91B01" w:rsidRDefault="00E91B01" w14:paraId="15397822" w14:textId="77777777">
      <w:pPr>
        <w:autoSpaceDE w:val="0"/>
        <w:autoSpaceDN w:val="0"/>
        <w:adjustRightInd w:val="0"/>
        <w:jc w:val="both"/>
        <w:rPr>
          <w:sz w:val="22"/>
          <w:szCs w:val="22"/>
          <w:lang w:val="en-GB"/>
        </w:rPr>
      </w:pPr>
    </w:p>
    <w:p w:rsidRPr="00FE7E6F" w:rsidR="00E91B01" w:rsidP="00E91B01" w:rsidRDefault="00E91B01" w14:paraId="58C277D5" w14:textId="77777777">
      <w:pPr>
        <w:autoSpaceDE w:val="0"/>
        <w:autoSpaceDN w:val="0"/>
        <w:adjustRightInd w:val="0"/>
        <w:jc w:val="both"/>
        <w:rPr>
          <w:sz w:val="22"/>
          <w:szCs w:val="22"/>
          <w:lang w:val="en-GB"/>
        </w:rPr>
      </w:pPr>
      <w:r w:rsidRPr="00FE7E6F">
        <w:rPr>
          <w:sz w:val="22"/>
          <w:szCs w:val="22"/>
          <w:lang w:val="en-GB"/>
        </w:rPr>
        <w:t>headquartered in [__________________________________________], registered with the Trade Registry/equivalent body for non-resident legal person under no. [_______________________], having sole registration code/equivalent number for non-resident legal person [_______________________], legally represented by [___________________________]</w:t>
      </w:r>
    </w:p>
    <w:p w:rsidRPr="00FE7E6F" w:rsidR="00E91B01" w:rsidP="00E91B01" w:rsidRDefault="00E91B01" w14:paraId="184A74E2" w14:textId="77777777">
      <w:pPr>
        <w:autoSpaceDE w:val="0"/>
        <w:autoSpaceDN w:val="0"/>
        <w:adjustRightInd w:val="0"/>
        <w:jc w:val="both"/>
        <w:rPr>
          <w:color w:val="808080"/>
          <w:sz w:val="22"/>
          <w:szCs w:val="22"/>
          <w:lang w:val="en-GB"/>
        </w:rPr>
      </w:pPr>
      <w:r w:rsidRPr="00FE7E6F">
        <w:rPr>
          <w:color w:val="808080"/>
          <w:sz w:val="22"/>
          <w:szCs w:val="22"/>
          <w:lang w:val="en-GB"/>
        </w:rPr>
        <w:t>(</w:t>
      </w:r>
      <w:r w:rsidRPr="00FE7E6F">
        <w:rPr>
          <w:b/>
          <w:color w:val="808080"/>
          <w:sz w:val="22"/>
          <w:szCs w:val="22"/>
          <w:lang w:val="en-GB"/>
        </w:rPr>
        <w:t>ATTENTION</w:t>
      </w:r>
      <w:r w:rsidRPr="00FE7E6F">
        <w:rPr>
          <w:color w:val="808080"/>
          <w:sz w:val="22"/>
          <w:szCs w:val="22"/>
          <w:lang w:val="en-GB"/>
        </w:rPr>
        <w:t>! to be filled in with the first name and last name of the legal representative)</w:t>
      </w:r>
    </w:p>
    <w:p w:rsidRPr="00FE7E6F" w:rsidR="00E91B01" w:rsidP="00E91B01" w:rsidRDefault="00E91B01" w14:paraId="7B72BA4B" w14:textId="77777777">
      <w:pPr>
        <w:autoSpaceDE w:val="0"/>
        <w:autoSpaceDN w:val="0"/>
        <w:adjustRightInd w:val="0"/>
        <w:jc w:val="both"/>
        <w:rPr>
          <w:sz w:val="22"/>
          <w:szCs w:val="22"/>
          <w:lang w:val="en-GB"/>
        </w:rPr>
      </w:pPr>
    </w:p>
    <w:p w:rsidRPr="00FE7E6F" w:rsidR="00E91B01" w:rsidP="00E91B01" w:rsidRDefault="00E91B01" w14:paraId="7B61D849" w14:textId="77777777">
      <w:pPr>
        <w:tabs>
          <w:tab w:val="num" w:pos="360"/>
        </w:tabs>
        <w:autoSpaceDE w:val="0"/>
        <w:autoSpaceDN w:val="0"/>
        <w:adjustRightInd w:val="0"/>
        <w:jc w:val="both"/>
        <w:rPr>
          <w:sz w:val="22"/>
          <w:szCs w:val="22"/>
          <w:lang w:val="en-GB"/>
        </w:rPr>
      </w:pPr>
      <w:r w:rsidRPr="00FE7E6F">
        <w:rPr>
          <w:sz w:val="22"/>
          <w:szCs w:val="22"/>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rsidRPr="00FE7E6F" w:rsidR="00E91B01" w:rsidP="00E91B01" w:rsidRDefault="00E91B01" w14:paraId="73B37143" w14:textId="77777777">
      <w:pPr>
        <w:tabs>
          <w:tab w:val="num" w:pos="360"/>
        </w:tabs>
        <w:autoSpaceDE w:val="0"/>
        <w:autoSpaceDN w:val="0"/>
        <w:adjustRightInd w:val="0"/>
        <w:jc w:val="both"/>
        <w:rPr>
          <w:sz w:val="22"/>
          <w:szCs w:val="22"/>
          <w:lang w:val="en-GB"/>
        </w:rPr>
      </w:pPr>
    </w:p>
    <w:p w:rsidRPr="00FE7E6F" w:rsidR="00C74569" w:rsidP="00E91B01" w:rsidRDefault="00E91B01" w14:paraId="5E8EDEAE" w14:textId="4E443E45">
      <w:pPr>
        <w:tabs>
          <w:tab w:val="num" w:pos="360"/>
        </w:tabs>
        <w:autoSpaceDE w:val="0"/>
        <w:autoSpaceDN w:val="0"/>
        <w:adjustRightInd w:val="0"/>
        <w:jc w:val="both"/>
        <w:rPr>
          <w:sz w:val="22"/>
          <w:szCs w:val="22"/>
          <w:lang w:val="en-GB"/>
        </w:rPr>
      </w:pPr>
      <w:r w:rsidRPr="00FE7E6F">
        <w:rPr>
          <w:sz w:val="22"/>
          <w:szCs w:val="22"/>
          <w:lang w:val="en-GB"/>
        </w:rPr>
        <w:t xml:space="preserve">as my representative in the </w:t>
      </w:r>
      <w:r w:rsidR="00A526A1">
        <w:rPr>
          <w:sz w:val="22"/>
          <w:szCs w:val="22"/>
          <w:lang w:val="en-GB"/>
        </w:rPr>
        <w:t xml:space="preserve">Company’s </w:t>
      </w:r>
      <w:r w:rsidR="007510DE">
        <w:rPr>
          <w:sz w:val="22"/>
          <w:szCs w:val="22"/>
          <w:lang w:val="en-GB"/>
        </w:rPr>
        <w:t>OGMS</w:t>
      </w:r>
      <w:r w:rsidRPr="00FE7E6F">
        <w:rPr>
          <w:sz w:val="22"/>
          <w:szCs w:val="22"/>
          <w:lang w:val="en-GB"/>
        </w:rPr>
        <w:t xml:space="preserve"> which will take place on </w:t>
      </w:r>
      <w:r w:rsidRPr="00D07D73" w:rsidR="00670F25">
        <w:rPr>
          <w:rFonts w:cs="Arial"/>
          <w:b/>
          <w:bCs/>
          <w:sz w:val="22"/>
          <w:szCs w:val="22"/>
          <w:lang w:val="en-GB"/>
        </w:rPr>
        <w:t>2</w:t>
      </w:r>
      <w:r w:rsidR="00670F25">
        <w:rPr>
          <w:rFonts w:cs="Arial"/>
          <w:b/>
          <w:bCs/>
          <w:sz w:val="22"/>
          <w:szCs w:val="22"/>
          <w:lang w:val="en-GB"/>
        </w:rPr>
        <w:t>9</w:t>
      </w:r>
      <w:r w:rsidRPr="00D07D73" w:rsidR="00670F25">
        <w:rPr>
          <w:rFonts w:cs="Arial"/>
          <w:b/>
          <w:bCs/>
          <w:sz w:val="22"/>
          <w:szCs w:val="22"/>
          <w:lang w:val="en-GB"/>
        </w:rPr>
        <w:t xml:space="preserve"> </w:t>
      </w:r>
      <w:r w:rsidR="00670F25">
        <w:rPr>
          <w:rFonts w:cs="Arial"/>
          <w:b/>
          <w:bCs/>
          <w:sz w:val="22"/>
          <w:szCs w:val="22"/>
          <w:lang w:val="en-GB"/>
        </w:rPr>
        <w:t>April</w:t>
      </w:r>
      <w:r w:rsidRPr="00D07D73" w:rsidR="00670F25">
        <w:rPr>
          <w:rFonts w:cs="Arial"/>
          <w:b/>
          <w:bCs/>
          <w:sz w:val="22"/>
          <w:szCs w:val="22"/>
          <w:lang w:val="en-GB"/>
        </w:rPr>
        <w:t xml:space="preserve"> 202</w:t>
      </w:r>
      <w:r w:rsidR="00670F25">
        <w:rPr>
          <w:rFonts w:cs="Arial"/>
          <w:b/>
          <w:bCs/>
          <w:sz w:val="22"/>
          <w:szCs w:val="22"/>
          <w:lang w:val="en-GB"/>
        </w:rPr>
        <w:t>5</w:t>
      </w:r>
      <w:r w:rsidRPr="00D07D73" w:rsidR="00670F25">
        <w:rPr>
          <w:rFonts w:cs="Arial"/>
          <w:b/>
          <w:bCs/>
          <w:sz w:val="22"/>
          <w:szCs w:val="22"/>
          <w:lang w:val="en-GB"/>
        </w:rPr>
        <w:t xml:space="preserve"> (first </w:t>
      </w:r>
      <w:r w:rsidRPr="000446C6" w:rsidR="00670F25">
        <w:rPr>
          <w:rFonts w:cs="Arial"/>
          <w:b/>
          <w:bCs/>
          <w:sz w:val="22"/>
          <w:szCs w:val="22"/>
          <w:lang w:val="en-GB"/>
        </w:rPr>
        <w:t>convening)</w:t>
      </w:r>
      <w:r w:rsidRPr="000446C6" w:rsidR="00670F25">
        <w:rPr>
          <w:rFonts w:cs="Arial"/>
          <w:b/>
          <w:sz w:val="22"/>
          <w:szCs w:val="22"/>
          <w:lang w:val="en-GB"/>
        </w:rPr>
        <w:t>, 1</w:t>
      </w:r>
      <w:r w:rsidRPr="000446C6" w:rsidR="00670F25">
        <w:rPr>
          <w:rFonts w:cs="Arial"/>
          <w:b/>
          <w:bCs/>
          <w:sz w:val="22"/>
          <w:szCs w:val="22"/>
          <w:lang w:val="en-GB"/>
        </w:rPr>
        <w:t>1</w:t>
      </w:r>
      <w:r w:rsidRPr="000446C6" w:rsidR="00670F25">
        <w:rPr>
          <w:rFonts w:cs="Arial"/>
          <w:b/>
          <w:sz w:val="22"/>
          <w:szCs w:val="22"/>
          <w:lang w:val="en-GB"/>
        </w:rPr>
        <w:t>:00 AM</w:t>
      </w:r>
      <w:r w:rsidRPr="000446C6" w:rsidR="00670F25">
        <w:rPr>
          <w:rFonts w:cs="Arial"/>
          <w:sz w:val="22"/>
          <w:szCs w:val="22"/>
          <w:lang w:val="en-GB"/>
        </w:rPr>
        <w:t xml:space="preserve"> (Romanian time), at </w:t>
      </w:r>
      <w:r w:rsidRPr="000446C6" w:rsidR="00670F25">
        <w:rPr>
          <w:rFonts w:cs="Arial"/>
          <w:b/>
          <w:bCs/>
          <w:sz w:val="22"/>
          <w:szCs w:val="22"/>
        </w:rPr>
        <w:t>“INTERCONTINENTAL ATHÉNÉE PALACE BUCHAREST” Hotel</w:t>
      </w:r>
      <w:r w:rsidRPr="000446C6" w:rsidR="00670F25">
        <w:rPr>
          <w:rFonts w:cs="Arial"/>
          <w:sz w:val="22"/>
          <w:szCs w:val="22"/>
        </w:rPr>
        <w:t>, Le Diplomate Salon, 1-3 Episcopiei</w:t>
      </w:r>
      <w:r w:rsidRPr="00A42549" w:rsidR="00670F25">
        <w:rPr>
          <w:rFonts w:cs="Arial"/>
          <w:sz w:val="22"/>
          <w:szCs w:val="22"/>
        </w:rPr>
        <w:t xml:space="preserve"> Street, 1st District, Bucharest, 010292, Romania</w:t>
      </w:r>
      <w:r w:rsidR="00A526A1">
        <w:rPr>
          <w:rFonts w:cs="Arial"/>
          <w:sz w:val="22"/>
          <w:szCs w:val="22"/>
        </w:rPr>
        <w:t>, respectively on</w:t>
      </w:r>
      <w:r w:rsidRPr="00D77B01" w:rsidR="00A526A1">
        <w:rPr>
          <w:rFonts w:cs="Arial"/>
          <w:sz w:val="22"/>
          <w:szCs w:val="22"/>
        </w:rPr>
        <w:t xml:space="preserve"> </w:t>
      </w:r>
      <w:r w:rsidRPr="001B25FD" w:rsidR="00F524AF">
        <w:rPr>
          <w:rFonts w:cs="Arial"/>
          <w:b/>
          <w:bCs/>
          <w:sz w:val="22"/>
          <w:szCs w:val="22"/>
        </w:rPr>
        <w:t>30 April 2025</w:t>
      </w:r>
      <w:r w:rsidRPr="001B25FD" w:rsidR="00F524AF">
        <w:rPr>
          <w:rFonts w:cs="Arial"/>
          <w:sz w:val="22"/>
          <w:szCs w:val="22"/>
        </w:rPr>
        <w:t xml:space="preserve"> (</w:t>
      </w:r>
      <w:r w:rsidRPr="001B25FD" w:rsidR="00F524AF">
        <w:rPr>
          <w:rFonts w:cs="Arial"/>
          <w:b/>
          <w:bCs/>
          <w:sz w:val="22"/>
          <w:szCs w:val="22"/>
        </w:rPr>
        <w:t>second convening</w:t>
      </w:r>
      <w:r w:rsidRPr="001B25FD" w:rsidR="00F524AF">
        <w:rPr>
          <w:rFonts w:cs="Arial"/>
          <w:sz w:val="22"/>
          <w:szCs w:val="22"/>
        </w:rPr>
        <w:t xml:space="preserve">), </w:t>
      </w:r>
      <w:r w:rsidRPr="001B25FD" w:rsidR="00F524AF">
        <w:rPr>
          <w:rFonts w:cs="Arial"/>
          <w:b/>
          <w:bCs/>
          <w:sz w:val="22"/>
          <w:szCs w:val="22"/>
        </w:rPr>
        <w:t>11:00 AM</w:t>
      </w:r>
      <w:r w:rsidRPr="001B25FD" w:rsidR="00F524AF">
        <w:rPr>
          <w:rFonts w:cs="Arial"/>
          <w:sz w:val="22"/>
          <w:szCs w:val="22"/>
        </w:rPr>
        <w:t xml:space="preserve"> (Romanian time) at </w:t>
      </w:r>
      <w:r w:rsidRPr="001B25FD" w:rsidR="00F524AF">
        <w:rPr>
          <w:rFonts w:cs="Arial"/>
          <w:b/>
          <w:bCs/>
          <w:sz w:val="22"/>
          <w:szCs w:val="22"/>
        </w:rPr>
        <w:t>“INTERCONTINENTAL ATHÉNÉE PALACE BUCHAREST” Hotel</w:t>
      </w:r>
      <w:r w:rsidRPr="001B25FD" w:rsidR="00F524AF">
        <w:rPr>
          <w:rFonts w:cs="Arial"/>
          <w:sz w:val="22"/>
          <w:szCs w:val="22"/>
        </w:rPr>
        <w:t xml:space="preserve">, Enescu </w:t>
      </w:r>
      <w:r w:rsidR="00F524AF">
        <w:rPr>
          <w:rFonts w:cs="Arial"/>
          <w:sz w:val="22"/>
          <w:szCs w:val="22"/>
        </w:rPr>
        <w:t xml:space="preserve">1+2 </w:t>
      </w:r>
      <w:r w:rsidRPr="001B25FD" w:rsidR="00F524AF">
        <w:rPr>
          <w:rFonts w:cs="Arial"/>
          <w:sz w:val="22"/>
          <w:szCs w:val="22"/>
        </w:rPr>
        <w:t>Room, 1-3 Episcopiei Street, 1st District, Bucharest, 010292, Romania</w:t>
      </w:r>
      <w:r w:rsidRPr="00D77B01" w:rsidR="00A526A1">
        <w:rPr>
          <w:rFonts w:cs="Arial"/>
          <w:sz w:val="22"/>
          <w:szCs w:val="22"/>
        </w:rPr>
        <w:t xml:space="preserve">, </w:t>
      </w:r>
      <w:r w:rsidRPr="00751DCC" w:rsidR="00A526A1">
        <w:rPr>
          <w:rFonts w:cs="Arial"/>
          <w:sz w:val="22"/>
          <w:szCs w:val="22"/>
        </w:rPr>
        <w:t xml:space="preserve">in case the </w:t>
      </w:r>
      <w:r w:rsidR="00A526A1">
        <w:rPr>
          <w:rFonts w:cs="Arial"/>
          <w:sz w:val="22"/>
          <w:szCs w:val="22"/>
        </w:rPr>
        <w:t>OGMS</w:t>
      </w:r>
      <w:r w:rsidRPr="00751DCC" w:rsidR="00A526A1">
        <w:rPr>
          <w:rFonts w:cs="Arial"/>
          <w:sz w:val="22"/>
          <w:szCs w:val="22"/>
        </w:rPr>
        <w:t xml:space="preserve"> cannot be validly held at the first </w:t>
      </w:r>
      <w:r w:rsidR="00A526A1">
        <w:rPr>
          <w:rFonts w:cs="Arial"/>
          <w:sz w:val="22"/>
          <w:szCs w:val="22"/>
        </w:rPr>
        <w:t>convening</w:t>
      </w:r>
      <w:r w:rsidRPr="00FE7E6F">
        <w:rPr>
          <w:sz w:val="22"/>
          <w:szCs w:val="22"/>
          <w:lang w:val="en-GB"/>
        </w:rPr>
        <w:t xml:space="preserve">, </w:t>
      </w:r>
      <w:r w:rsidRPr="00FE7E6F">
        <w:rPr>
          <w:sz w:val="22"/>
          <w:szCs w:val="22"/>
          <w:lang w:val="en-GB" w:eastAsia="ro-RO"/>
        </w:rPr>
        <w:t xml:space="preserve">to exercise the voting rights pertaining to my holdings registered in the shareholders’ registry as at the </w:t>
      </w:r>
      <w:r w:rsidR="007510DE">
        <w:rPr>
          <w:sz w:val="22"/>
          <w:szCs w:val="22"/>
          <w:lang w:val="en-GB" w:eastAsia="ro-RO"/>
        </w:rPr>
        <w:t>OGMS</w:t>
      </w:r>
      <w:r w:rsidR="00AA6092">
        <w:rPr>
          <w:sz w:val="22"/>
          <w:szCs w:val="22"/>
          <w:lang w:val="en-GB" w:eastAsia="ro-RO"/>
        </w:rPr>
        <w:t xml:space="preserve"> </w:t>
      </w:r>
      <w:r w:rsidRPr="00FE7E6F">
        <w:rPr>
          <w:sz w:val="22"/>
          <w:szCs w:val="22"/>
          <w:lang w:val="en-GB" w:eastAsia="ro-RO"/>
        </w:rPr>
        <w:t>reference date, as follows</w:t>
      </w:r>
      <w:r w:rsidRPr="00FE7E6F">
        <w:rPr>
          <w:sz w:val="22"/>
          <w:szCs w:val="22"/>
          <w:lang w:val="en-GB"/>
        </w:rPr>
        <w:t>:</w:t>
      </w:r>
    </w:p>
    <w:p w:rsidRPr="008713B0" w:rsidR="00A526A1" w:rsidP="00A526A1" w:rsidRDefault="00A526A1" w14:paraId="77F9BF2F" w14:textId="77777777">
      <w:pPr>
        <w:jc w:val="both"/>
        <w:rPr>
          <w:sz w:val="22"/>
          <w:szCs w:val="22"/>
          <w:lang w:val="en-GB"/>
        </w:rPr>
      </w:pPr>
      <w:bookmarkStart w:name="_Hlk180583041" w:id="0"/>
    </w:p>
    <w:bookmarkEnd w:id="0"/>
    <w:p w:rsidRPr="009138B8" w:rsidR="00447DF1" w:rsidP="00447DF1" w:rsidRDefault="00447DF1" w14:paraId="5F0C1CF0" w14:textId="77777777">
      <w:pPr>
        <w:pStyle w:val="ListParagraph"/>
        <w:numPr>
          <w:ilvl w:val="0"/>
          <w:numId w:val="2"/>
        </w:numPr>
        <w:ind w:left="450" w:hanging="450"/>
        <w:contextualSpacing w:val="0"/>
        <w:jc w:val="both"/>
        <w:rPr>
          <w:b/>
          <w:bCs/>
          <w:sz w:val="22"/>
          <w:szCs w:val="22"/>
          <w:lang w:val="en-GB"/>
        </w:rPr>
      </w:pPr>
      <w:r w:rsidRPr="00427188">
        <w:rPr>
          <w:b/>
          <w:bCs/>
          <w:sz w:val="22"/>
          <w:szCs w:val="22"/>
          <w:lang w:val="en-GB"/>
        </w:rPr>
        <w:t>For item 1 on the agenda, respectively</w:t>
      </w:r>
      <w:r w:rsidRPr="00427188">
        <w:rPr>
          <w:b/>
          <w:bCs/>
          <w:sz w:val="22"/>
          <w:szCs w:val="22"/>
        </w:rPr>
        <w:t>:</w:t>
      </w:r>
    </w:p>
    <w:p w:rsidR="00447DF1" w:rsidP="00447DF1" w:rsidRDefault="00447DF1" w14:paraId="6EBF16B9" w14:textId="77777777">
      <w:pPr>
        <w:pStyle w:val="ListParagraph"/>
        <w:ind w:left="450"/>
        <w:contextualSpacing w:val="0"/>
        <w:jc w:val="both"/>
        <w:rPr>
          <w:b/>
          <w:bCs/>
          <w:sz w:val="22"/>
          <w:szCs w:val="22"/>
        </w:rPr>
      </w:pPr>
    </w:p>
    <w:p w:rsidRPr="00187704" w:rsidR="00447DF1" w:rsidP="00447DF1" w:rsidRDefault="00447DF1" w14:paraId="33D7BADB" w14:textId="77777777">
      <w:pPr>
        <w:pStyle w:val="ListParagraph"/>
        <w:tabs>
          <w:tab w:val="left" w:pos="540"/>
        </w:tabs>
        <w:ind w:left="540"/>
        <w:contextualSpacing w:val="0"/>
        <w:jc w:val="both"/>
        <w:rPr>
          <w:i/>
          <w:iCs/>
          <w:sz w:val="22"/>
          <w:szCs w:val="22"/>
          <w:lang w:val="en-GB"/>
        </w:rPr>
      </w:pPr>
      <w:r w:rsidRPr="00187704">
        <w:rPr>
          <w:i/>
          <w:iCs/>
          <w:sz w:val="22"/>
          <w:szCs w:val="22"/>
          <w:lang w:val="en-GB"/>
        </w:rPr>
        <w:t xml:space="preserve">“The </w:t>
      </w:r>
      <w:r w:rsidRPr="00187704">
        <w:rPr>
          <w:i/>
          <w:iCs/>
          <w:sz w:val="22"/>
          <w:szCs w:val="22"/>
        </w:rPr>
        <w:t>presentations</w:t>
      </w:r>
      <w:r w:rsidRPr="00187704">
        <w:rPr>
          <w:i/>
          <w:iCs/>
          <w:sz w:val="22"/>
          <w:szCs w:val="22"/>
          <w:lang w:val="en-GB"/>
        </w:rPr>
        <w:t xml:space="preserve"> of:</w:t>
      </w:r>
    </w:p>
    <w:p w:rsidRPr="00187704" w:rsidR="00447DF1" w:rsidP="00447DF1" w:rsidRDefault="00447DF1" w14:paraId="762842F0" w14:textId="77777777">
      <w:pPr>
        <w:jc w:val="both"/>
        <w:rPr>
          <w:i/>
          <w:iCs/>
          <w:sz w:val="22"/>
          <w:szCs w:val="22"/>
          <w:lang w:val="en-GB"/>
        </w:rPr>
      </w:pPr>
    </w:p>
    <w:p w:rsidRPr="00187704" w:rsidR="00447DF1" w:rsidP="00447DF1" w:rsidRDefault="00447DF1" w14:paraId="019CFA29" w14:textId="77777777">
      <w:pPr>
        <w:numPr>
          <w:ilvl w:val="0"/>
          <w:numId w:val="23"/>
        </w:numPr>
        <w:ind w:left="1080" w:hanging="540"/>
        <w:jc w:val="both"/>
        <w:rPr>
          <w:i/>
          <w:iCs/>
          <w:sz w:val="22"/>
          <w:szCs w:val="22"/>
          <w:lang w:val="en-GB"/>
        </w:rPr>
      </w:pPr>
      <w:r w:rsidRPr="00187704">
        <w:rPr>
          <w:i/>
          <w:iCs/>
          <w:sz w:val="22"/>
          <w:szCs w:val="22"/>
          <w:lang w:val="en-GB"/>
        </w:rPr>
        <w:t xml:space="preserve">The Alternative Investment Fund Manager of the Performance Report for the period 1 January 2024 – 31 December 2024; </w:t>
      </w:r>
    </w:p>
    <w:p w:rsidRPr="00187704" w:rsidR="00447DF1" w:rsidP="00447DF1" w:rsidRDefault="00447DF1" w14:paraId="7E35ABDE" w14:textId="77777777">
      <w:pPr>
        <w:ind w:left="720"/>
        <w:jc w:val="both"/>
        <w:rPr>
          <w:i/>
          <w:iCs/>
          <w:sz w:val="22"/>
          <w:szCs w:val="22"/>
          <w:lang w:val="en-GB"/>
        </w:rPr>
      </w:pPr>
    </w:p>
    <w:p w:rsidRPr="00187704" w:rsidR="00447DF1" w:rsidP="00447DF1" w:rsidRDefault="00447DF1" w14:paraId="6C0F4D99" w14:textId="77777777">
      <w:pPr>
        <w:numPr>
          <w:ilvl w:val="0"/>
          <w:numId w:val="23"/>
        </w:numPr>
        <w:ind w:left="1080" w:hanging="540"/>
        <w:jc w:val="both"/>
        <w:rPr>
          <w:i/>
          <w:iCs/>
          <w:sz w:val="22"/>
          <w:szCs w:val="22"/>
          <w:lang w:val="en-GB"/>
        </w:rPr>
      </w:pPr>
      <w:r w:rsidRPr="00187704">
        <w:rPr>
          <w:i/>
          <w:iCs/>
          <w:sz w:val="22"/>
          <w:szCs w:val="22"/>
          <w:lang w:val="en-GB"/>
        </w:rPr>
        <w:t xml:space="preserve">The </w:t>
      </w:r>
      <w:bookmarkStart w:name="_Hlk62232428" w:id="1"/>
      <w:r w:rsidRPr="00187704">
        <w:rPr>
          <w:i/>
          <w:iCs/>
          <w:sz w:val="22"/>
          <w:szCs w:val="22"/>
          <w:lang w:val="en-GB"/>
        </w:rPr>
        <w:t>Board of Nominees of its annual report for 2024 financial year, including its Review Report in relation to the Performance Report</w:t>
      </w:r>
      <w:bookmarkEnd w:id="1"/>
      <w:r w:rsidRPr="00187704">
        <w:rPr>
          <w:i/>
          <w:iCs/>
          <w:sz w:val="22"/>
          <w:szCs w:val="22"/>
          <w:lang w:val="en-GB"/>
        </w:rPr>
        <w:t>; and</w:t>
      </w:r>
    </w:p>
    <w:p w:rsidRPr="00187704" w:rsidR="00447DF1" w:rsidP="00447DF1" w:rsidRDefault="00447DF1" w14:paraId="2220C5D1" w14:textId="77777777">
      <w:pPr>
        <w:pStyle w:val="ListParagraph"/>
        <w:rPr>
          <w:sz w:val="22"/>
          <w:szCs w:val="22"/>
          <w:lang w:val="en-GB"/>
        </w:rPr>
      </w:pPr>
    </w:p>
    <w:p w:rsidR="00447DF1" w:rsidP="00447DF1" w:rsidRDefault="00447DF1" w14:paraId="5E51B7AB" w14:textId="77777777">
      <w:pPr>
        <w:numPr>
          <w:ilvl w:val="0"/>
          <w:numId w:val="23"/>
        </w:numPr>
        <w:ind w:left="1080" w:hanging="540"/>
        <w:jc w:val="both"/>
        <w:rPr>
          <w:rFonts w:cs="Arial"/>
          <w:sz w:val="22"/>
          <w:szCs w:val="22"/>
          <w:lang w:val="en-GB"/>
        </w:rPr>
      </w:pPr>
      <w:r w:rsidRPr="00187704">
        <w:rPr>
          <w:i/>
          <w:iCs/>
          <w:sz w:val="22"/>
          <w:szCs w:val="22"/>
          <w:lang w:val="en-GB"/>
        </w:rPr>
        <w:t>The Board of Nominees of the status of the selection process of the AIFM</w:t>
      </w:r>
      <w:r>
        <w:rPr>
          <w:rFonts w:cs="Arial"/>
          <w:sz w:val="22"/>
          <w:szCs w:val="22"/>
          <w:lang w:val="en-GB"/>
        </w:rPr>
        <w:t>.</w:t>
      </w:r>
      <w:r w:rsidRPr="00251B70">
        <w:rPr>
          <w:i/>
          <w:iCs/>
          <w:sz w:val="22"/>
          <w:szCs w:val="22"/>
          <w:lang w:val="en-GB"/>
        </w:rPr>
        <w:t>”</w:t>
      </w:r>
    </w:p>
    <w:p w:rsidRPr="00187704" w:rsidR="00447DF1" w:rsidP="00447DF1" w:rsidRDefault="00447DF1" w14:paraId="000005AC" w14:textId="77777777">
      <w:pPr>
        <w:jc w:val="both"/>
        <w:rPr>
          <w:rFonts w:cs="Arial"/>
          <w:sz w:val="22"/>
          <w:szCs w:val="22"/>
          <w:lang w:val="en-GB"/>
        </w:rPr>
      </w:pPr>
    </w:p>
    <w:p w:rsidRPr="00512DF3" w:rsidR="00447DF1" w:rsidP="00447DF1" w:rsidRDefault="00447DF1" w14:paraId="1BE65634" w14:textId="77777777">
      <w:pPr>
        <w:pStyle w:val="ListParagraph"/>
        <w:ind w:left="450"/>
        <w:contextualSpacing w:val="0"/>
        <w:jc w:val="both"/>
        <w:rPr>
          <w:sz w:val="22"/>
          <w:szCs w:val="22"/>
          <w:lang w:val="en-GB"/>
        </w:rPr>
      </w:pPr>
      <w:r w:rsidRPr="00512DF3">
        <w:rPr>
          <w:b/>
          <w:bCs/>
          <w:sz w:val="22"/>
          <w:szCs w:val="22"/>
          <w:lang w:val="en-GB"/>
        </w:rPr>
        <w:t>is not subject to voting</w:t>
      </w:r>
      <w:r w:rsidRPr="00512DF3">
        <w:rPr>
          <w:sz w:val="22"/>
          <w:szCs w:val="22"/>
          <w:lang w:val="en-GB"/>
        </w:rPr>
        <w:t>.</w:t>
      </w:r>
    </w:p>
    <w:p w:rsidR="00447DF1" w:rsidP="00447DF1" w:rsidRDefault="00447DF1" w14:paraId="6E85BDA4" w14:textId="77777777">
      <w:pPr>
        <w:jc w:val="both"/>
        <w:rPr>
          <w:sz w:val="22"/>
          <w:szCs w:val="22"/>
          <w:lang w:val="en-GB"/>
        </w:rPr>
      </w:pPr>
    </w:p>
    <w:p w:rsidRPr="00216524" w:rsidR="00447DF1" w:rsidP="00447DF1" w:rsidRDefault="00447DF1" w14:paraId="1BC91F69" w14:textId="77777777">
      <w:pPr>
        <w:pStyle w:val="ListParagraph"/>
        <w:numPr>
          <w:ilvl w:val="0"/>
          <w:numId w:val="2"/>
        </w:numPr>
        <w:ind w:left="450"/>
        <w:contextualSpacing w:val="0"/>
        <w:jc w:val="both"/>
        <w:rPr>
          <w:b/>
          <w:bCs/>
          <w:sz w:val="22"/>
          <w:szCs w:val="22"/>
          <w:lang w:val="en-GB"/>
        </w:rPr>
      </w:pPr>
      <w:r w:rsidRPr="00216524">
        <w:rPr>
          <w:b/>
          <w:bCs/>
          <w:sz w:val="22"/>
          <w:szCs w:val="22"/>
          <w:lang w:val="en-GB"/>
        </w:rPr>
        <w:t xml:space="preserve">For item </w:t>
      </w:r>
      <w:r>
        <w:rPr>
          <w:b/>
          <w:bCs/>
          <w:sz w:val="22"/>
          <w:szCs w:val="22"/>
          <w:lang w:val="en-GB"/>
        </w:rPr>
        <w:t>2</w:t>
      </w:r>
      <w:r w:rsidRPr="00216524">
        <w:rPr>
          <w:b/>
          <w:bCs/>
          <w:sz w:val="22"/>
          <w:szCs w:val="22"/>
          <w:lang w:val="en-GB"/>
        </w:rPr>
        <w:t xml:space="preserve"> on the agenda, respectively:</w:t>
      </w:r>
    </w:p>
    <w:p w:rsidR="00447DF1" w:rsidP="00447DF1" w:rsidRDefault="00447DF1" w14:paraId="0DC6C91A" w14:textId="77777777">
      <w:pPr>
        <w:jc w:val="both"/>
        <w:rPr>
          <w:sz w:val="22"/>
          <w:szCs w:val="22"/>
          <w:lang w:val="en-GB"/>
        </w:rPr>
      </w:pPr>
    </w:p>
    <w:p w:rsidRPr="00BE5EB9" w:rsidR="00447DF1" w:rsidP="00447DF1" w:rsidRDefault="00447DF1" w14:paraId="1E1DA8A3" w14:textId="77777777">
      <w:pPr>
        <w:pStyle w:val="ListParagraph"/>
        <w:tabs>
          <w:tab w:val="left" w:pos="540"/>
        </w:tabs>
        <w:ind w:left="540"/>
        <w:contextualSpacing w:val="0"/>
        <w:jc w:val="both"/>
        <w:rPr>
          <w:rFonts w:cs="Arial"/>
          <w:i/>
          <w:iCs/>
          <w:sz w:val="22"/>
          <w:szCs w:val="22"/>
          <w:lang w:val="en-GB"/>
        </w:rPr>
      </w:pPr>
      <w:r w:rsidRPr="00BE5EB9">
        <w:rPr>
          <w:i/>
          <w:iCs/>
          <w:sz w:val="22"/>
          <w:szCs w:val="22"/>
          <w:lang w:val="en-GB"/>
        </w:rPr>
        <w:t>“</w:t>
      </w:r>
      <w:bookmarkStart w:name="_Hlk62232464" w:id="2"/>
      <w:r w:rsidRPr="00BE5EB9">
        <w:rPr>
          <w:i/>
          <w:iCs/>
          <w:sz w:val="22"/>
          <w:szCs w:val="22"/>
          <w:lang w:val="en-GB"/>
        </w:rPr>
        <w:t xml:space="preserve">The approval of the Annual Activity Report of the Sole Director </w:t>
      </w:r>
      <w:bookmarkEnd w:id="2"/>
      <w:r w:rsidRPr="00BE5EB9">
        <w:rPr>
          <w:i/>
          <w:iCs/>
          <w:sz w:val="22"/>
          <w:szCs w:val="22"/>
          <w:lang w:val="en-GB"/>
        </w:rPr>
        <w:t xml:space="preserve">of Fondul Proprietatea for the financial year 2024, including the </w:t>
      </w:r>
      <w:r w:rsidRPr="00BE5EB9">
        <w:rPr>
          <w:i/>
          <w:iCs/>
          <w:sz w:val="22"/>
          <w:szCs w:val="22"/>
        </w:rPr>
        <w:t>financial</w:t>
      </w:r>
      <w:r w:rsidRPr="00BE5EB9">
        <w:rPr>
          <w:i/>
          <w:iCs/>
          <w:sz w:val="22"/>
          <w:szCs w:val="22"/>
          <w:lang w:val="en-GB"/>
        </w:rPr>
        <w:t xml:space="preserve"> statements for the year ended on 31 December 2024 prepared in accordance with the </w:t>
      </w:r>
      <w:r w:rsidRPr="00BE5EB9">
        <w:rPr>
          <w:i/>
          <w:iCs/>
          <w:sz w:val="22"/>
          <w:szCs w:val="22"/>
        </w:rPr>
        <w:t>International</w:t>
      </w:r>
      <w:r w:rsidRPr="00BE5EB9">
        <w:rPr>
          <w:i/>
          <w:iCs/>
          <w:sz w:val="22"/>
          <w:szCs w:val="22"/>
          <w:lang w:val="en-GB"/>
        </w:rPr>
        <w:t xml:space="preserve"> Financial Reporting Standards as adopted by the European Union and applying the Financial Supervisory Authority Norm no. 39/ 28 December 2015, including in the format according to provisions of the EU </w:t>
      </w:r>
      <w:r w:rsidRPr="00BE5EB9">
        <w:rPr>
          <w:i/>
          <w:iCs/>
          <w:sz w:val="22"/>
          <w:szCs w:val="22"/>
        </w:rPr>
        <w:t>Delegated</w:t>
      </w:r>
      <w:r w:rsidRPr="00BE5EB9">
        <w:rPr>
          <w:i/>
          <w:iCs/>
          <w:sz w:val="22"/>
          <w:szCs w:val="22"/>
          <w:lang w:val="en-GB"/>
        </w:rPr>
        <w:t xml:space="preserve"> Regulation 2019/815 of the Council with regard to regulatory technical standards on the specification of a single electronic reporting format), based on the auditor’s report (all as presented in the supporting documentation, on the website of Fondul Proprietatea), the ratification of all legal acts concluded, adopted or issued on behalf of Fondul Proprietatea, as well as of any management/administration measures adopted, implemented, approved or concluded during 2024 financial year, along with the discharge of the Sole Director’s for any liability for its administration during 2024 financial year.”</w:t>
      </w:r>
    </w:p>
    <w:p w:rsidRPr="005956BE" w:rsidR="00447DF1" w:rsidP="00447DF1" w:rsidRDefault="00447DF1" w14:paraId="72DB45E9" w14:textId="77777777">
      <w:pPr>
        <w:rPr>
          <w:i/>
          <w:iCs/>
          <w:sz w:val="22"/>
          <w:szCs w:val="22"/>
          <w:lang w:val="en-GB"/>
        </w:rPr>
      </w:pPr>
    </w:p>
    <w:tbl>
      <w:tblPr>
        <w:tblW w:w="8550" w:type="dxa"/>
        <w:tblInd w:w="445" w:type="dxa"/>
        <w:tblLayout w:type="fixed"/>
        <w:tblLook w:val="04A0" w:firstRow="1" w:lastRow="0" w:firstColumn="1" w:lastColumn="0" w:noHBand="0" w:noVBand="1"/>
      </w:tblPr>
      <w:tblGrid>
        <w:gridCol w:w="2744"/>
        <w:gridCol w:w="2768"/>
        <w:gridCol w:w="3038"/>
      </w:tblGrid>
      <w:tr w:rsidRPr="008713B0" w:rsidR="00447DF1" w:rsidTr="00765244" w14:paraId="3247D81C" w14:textId="77777777">
        <w:trPr>
          <w:trHeight w:val="300"/>
        </w:trPr>
        <w:tc>
          <w:tcPr>
            <w:tcW w:w="2744"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C10B6" w:rsidR="00447DF1" w:rsidP="00765244" w:rsidRDefault="00447DF1" w14:paraId="6115ED89" w14:textId="77777777">
            <w:pPr>
              <w:jc w:val="both"/>
              <w:rPr>
                <w:b/>
                <w:bCs/>
                <w:color w:val="000000"/>
                <w:sz w:val="22"/>
                <w:szCs w:val="22"/>
                <w:lang w:val="en-GB"/>
              </w:rPr>
            </w:pPr>
            <w:r w:rsidRPr="008C10B6">
              <w:rPr>
                <w:b/>
                <w:bCs/>
                <w:color w:val="000000"/>
                <w:sz w:val="22"/>
                <w:szCs w:val="22"/>
                <w:lang w:val="en-GB"/>
              </w:rPr>
              <w:t> FOR</w:t>
            </w:r>
          </w:p>
        </w:tc>
        <w:tc>
          <w:tcPr>
            <w:tcW w:w="2768" w:type="dxa"/>
            <w:tcBorders>
              <w:top w:val="single" w:color="auto" w:sz="4" w:space="0"/>
              <w:left w:val="nil"/>
              <w:bottom w:val="single" w:color="auto" w:sz="4" w:space="0"/>
              <w:right w:val="single" w:color="auto" w:sz="4" w:space="0"/>
            </w:tcBorders>
            <w:shd w:val="clear" w:color="auto" w:fill="auto"/>
            <w:noWrap/>
            <w:vAlign w:val="bottom"/>
            <w:hideMark/>
          </w:tcPr>
          <w:p w:rsidRPr="008C10B6" w:rsidR="00447DF1" w:rsidP="00765244" w:rsidRDefault="00447DF1" w14:paraId="21467E35" w14:textId="77777777">
            <w:pPr>
              <w:jc w:val="both"/>
              <w:rPr>
                <w:b/>
                <w:bCs/>
                <w:color w:val="000000"/>
                <w:sz w:val="22"/>
                <w:szCs w:val="22"/>
                <w:lang w:val="en-GB"/>
              </w:rPr>
            </w:pPr>
            <w:r w:rsidRPr="008C10B6">
              <w:rPr>
                <w:b/>
                <w:bCs/>
                <w:color w:val="000000"/>
                <w:sz w:val="22"/>
                <w:szCs w:val="22"/>
                <w:lang w:val="en-GB"/>
              </w:rPr>
              <w:t>AGAINST</w:t>
            </w:r>
          </w:p>
        </w:tc>
        <w:tc>
          <w:tcPr>
            <w:tcW w:w="3038" w:type="dxa"/>
            <w:tcBorders>
              <w:top w:val="single" w:color="auto" w:sz="4" w:space="0"/>
              <w:left w:val="nil"/>
              <w:bottom w:val="single" w:color="auto" w:sz="4" w:space="0"/>
              <w:right w:val="single" w:color="auto" w:sz="4" w:space="0"/>
            </w:tcBorders>
            <w:shd w:val="clear" w:color="auto" w:fill="auto"/>
            <w:noWrap/>
            <w:vAlign w:val="bottom"/>
            <w:hideMark/>
          </w:tcPr>
          <w:p w:rsidRPr="008C10B6" w:rsidR="00447DF1" w:rsidP="00765244" w:rsidRDefault="00447DF1" w14:paraId="28647E23" w14:textId="77777777">
            <w:pPr>
              <w:jc w:val="both"/>
              <w:rPr>
                <w:b/>
                <w:bCs/>
                <w:color w:val="000000"/>
                <w:sz w:val="22"/>
                <w:szCs w:val="22"/>
                <w:lang w:val="en-GB"/>
              </w:rPr>
            </w:pPr>
            <w:r w:rsidRPr="008C10B6">
              <w:rPr>
                <w:b/>
                <w:bCs/>
                <w:color w:val="000000"/>
                <w:sz w:val="22"/>
                <w:szCs w:val="22"/>
                <w:lang w:val="en-GB"/>
              </w:rPr>
              <w:t> ABSTENTION</w:t>
            </w:r>
          </w:p>
        </w:tc>
      </w:tr>
      <w:tr w:rsidRPr="008713B0" w:rsidR="00447DF1" w:rsidTr="00765244" w14:paraId="4643C8E5" w14:textId="77777777">
        <w:trPr>
          <w:trHeight w:val="300"/>
        </w:trPr>
        <w:tc>
          <w:tcPr>
            <w:tcW w:w="2744" w:type="dxa"/>
            <w:tcBorders>
              <w:top w:val="nil"/>
              <w:left w:val="single" w:color="auto" w:sz="4" w:space="0"/>
              <w:bottom w:val="single" w:color="auto" w:sz="4" w:space="0"/>
              <w:right w:val="single" w:color="auto" w:sz="4" w:space="0"/>
            </w:tcBorders>
            <w:shd w:val="clear" w:color="auto" w:fill="auto"/>
            <w:noWrap/>
            <w:vAlign w:val="bottom"/>
            <w:hideMark/>
          </w:tcPr>
          <w:p w:rsidRPr="008C10B6" w:rsidR="00447DF1" w:rsidP="00765244" w:rsidRDefault="00447DF1" w14:paraId="093A8A62" w14:textId="77777777">
            <w:pPr>
              <w:jc w:val="both"/>
              <w:rPr>
                <w:b/>
                <w:bCs/>
                <w:color w:val="000000"/>
                <w:sz w:val="22"/>
                <w:szCs w:val="22"/>
                <w:lang w:val="en-GB"/>
              </w:rPr>
            </w:pPr>
          </w:p>
        </w:tc>
        <w:tc>
          <w:tcPr>
            <w:tcW w:w="2768" w:type="dxa"/>
            <w:tcBorders>
              <w:top w:val="nil"/>
              <w:left w:val="nil"/>
              <w:bottom w:val="single" w:color="auto" w:sz="4" w:space="0"/>
              <w:right w:val="single" w:color="auto" w:sz="4" w:space="0"/>
            </w:tcBorders>
            <w:shd w:val="clear" w:color="auto" w:fill="auto"/>
            <w:noWrap/>
            <w:vAlign w:val="bottom"/>
            <w:hideMark/>
          </w:tcPr>
          <w:p w:rsidRPr="008C10B6" w:rsidR="00447DF1" w:rsidP="00765244" w:rsidRDefault="00447DF1" w14:paraId="25DB8DC5" w14:textId="77777777">
            <w:pPr>
              <w:jc w:val="both"/>
              <w:rPr>
                <w:b/>
                <w:bCs/>
                <w:color w:val="000000"/>
                <w:sz w:val="22"/>
                <w:szCs w:val="22"/>
                <w:lang w:val="en-GB"/>
              </w:rPr>
            </w:pPr>
          </w:p>
        </w:tc>
        <w:tc>
          <w:tcPr>
            <w:tcW w:w="3038" w:type="dxa"/>
            <w:tcBorders>
              <w:top w:val="nil"/>
              <w:left w:val="nil"/>
              <w:bottom w:val="single" w:color="auto" w:sz="4" w:space="0"/>
              <w:right w:val="single" w:color="auto" w:sz="4" w:space="0"/>
            </w:tcBorders>
            <w:shd w:val="clear" w:color="auto" w:fill="auto"/>
            <w:noWrap/>
            <w:vAlign w:val="bottom"/>
            <w:hideMark/>
          </w:tcPr>
          <w:p w:rsidRPr="008C10B6" w:rsidR="00447DF1" w:rsidP="00765244" w:rsidRDefault="00447DF1" w14:paraId="72DA92EF" w14:textId="77777777">
            <w:pPr>
              <w:jc w:val="both"/>
              <w:rPr>
                <w:b/>
                <w:bCs/>
                <w:color w:val="000000"/>
                <w:sz w:val="22"/>
                <w:szCs w:val="22"/>
                <w:lang w:val="en-GB"/>
              </w:rPr>
            </w:pPr>
          </w:p>
        </w:tc>
      </w:tr>
    </w:tbl>
    <w:p w:rsidR="00447DF1" w:rsidP="00447DF1" w:rsidRDefault="00447DF1" w14:paraId="317ECC96" w14:textId="77777777">
      <w:pPr>
        <w:ind w:left="450"/>
        <w:jc w:val="both"/>
        <w:rPr>
          <w:i/>
          <w:sz w:val="22"/>
          <w:szCs w:val="22"/>
          <w:lang w:val="en-GB" w:eastAsia="ro-RO"/>
        </w:rPr>
      </w:pPr>
    </w:p>
    <w:p w:rsidR="00447DF1" w:rsidP="00447DF1" w:rsidRDefault="00447DF1" w14:paraId="687B76B3" w14:textId="77777777">
      <w:pPr>
        <w:pStyle w:val="ListParagraph"/>
        <w:ind w:left="450"/>
        <w:contextualSpacing w:val="0"/>
        <w:jc w:val="both"/>
        <w:rPr>
          <w:sz w:val="22"/>
          <w:szCs w:val="22"/>
          <w:lang w:val="en-GB" w:eastAsia="ro-RO"/>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Pr>
          <w:i/>
          <w:sz w:val="22"/>
          <w:szCs w:val="22"/>
          <w:lang w:val="en-GB" w:eastAsia="ro-RO"/>
        </w:rPr>
        <w:t>mean that</w:t>
      </w:r>
      <w:r w:rsidRPr="008713B0">
        <w:rPr>
          <w:i/>
          <w:sz w:val="22"/>
          <w:szCs w:val="22"/>
          <w:lang w:val="en-GB" w:eastAsia="ro-RO"/>
        </w:rPr>
        <w:t xml:space="preserve"> the vote will not be taken into consideration</w:t>
      </w:r>
      <w:r w:rsidRPr="008713B0">
        <w:rPr>
          <w:sz w:val="22"/>
          <w:szCs w:val="22"/>
          <w:lang w:val="en-GB" w:eastAsia="ro-RO"/>
        </w:rPr>
        <w:t>.</w:t>
      </w:r>
    </w:p>
    <w:p w:rsidR="00447DF1" w:rsidP="00447DF1" w:rsidRDefault="00447DF1" w14:paraId="6385938E" w14:textId="77777777">
      <w:pPr>
        <w:pStyle w:val="ListParagraph"/>
        <w:ind w:left="450"/>
        <w:contextualSpacing w:val="0"/>
        <w:jc w:val="both"/>
        <w:rPr>
          <w:color w:val="0000FF"/>
          <w:sz w:val="22"/>
          <w:szCs w:val="22"/>
          <w:lang w:val="en-GB"/>
        </w:rPr>
      </w:pPr>
    </w:p>
    <w:p w:rsidR="00447DF1" w:rsidP="00447DF1" w:rsidRDefault="00447DF1" w14:paraId="167AA952" w14:textId="77777777">
      <w:pPr>
        <w:pStyle w:val="ListParagraph"/>
        <w:numPr>
          <w:ilvl w:val="0"/>
          <w:numId w:val="2"/>
        </w:numPr>
        <w:ind w:left="450"/>
        <w:contextualSpacing w:val="0"/>
        <w:jc w:val="both"/>
        <w:rPr>
          <w:sz w:val="22"/>
          <w:szCs w:val="22"/>
          <w:lang w:val="en-GB"/>
        </w:rPr>
      </w:pPr>
      <w:r>
        <w:rPr>
          <w:b/>
          <w:bCs/>
          <w:iCs/>
          <w:sz w:val="22"/>
          <w:szCs w:val="22"/>
          <w:lang w:val="en-GB" w:eastAsia="ro-RO"/>
        </w:rPr>
        <w:t>For item 3 on the agenda</w:t>
      </w:r>
      <w:r w:rsidRPr="00910135">
        <w:rPr>
          <w:b/>
          <w:bCs/>
          <w:iCs/>
          <w:sz w:val="22"/>
          <w:szCs w:val="22"/>
          <w:lang w:val="en-GB" w:eastAsia="ro-RO"/>
        </w:rPr>
        <w:t xml:space="preserve">, </w:t>
      </w:r>
      <w:r w:rsidRPr="00910135">
        <w:rPr>
          <w:b/>
          <w:bCs/>
          <w:sz w:val="22"/>
          <w:szCs w:val="22"/>
          <w:lang w:val="en-GB"/>
        </w:rPr>
        <w:t>respectively:</w:t>
      </w:r>
      <w:r w:rsidRPr="005B166A">
        <w:rPr>
          <w:sz w:val="22"/>
          <w:szCs w:val="22"/>
          <w:lang w:val="en-GB"/>
        </w:rPr>
        <w:t xml:space="preserve"> </w:t>
      </w:r>
    </w:p>
    <w:p w:rsidR="00447DF1" w:rsidP="00447DF1" w:rsidRDefault="00447DF1" w14:paraId="7ABE767E" w14:textId="77777777">
      <w:pPr>
        <w:pStyle w:val="ListParagraph"/>
        <w:ind w:left="450"/>
        <w:contextualSpacing w:val="0"/>
        <w:jc w:val="both"/>
        <w:rPr>
          <w:sz w:val="22"/>
          <w:szCs w:val="22"/>
          <w:lang w:val="en-GB"/>
        </w:rPr>
      </w:pPr>
    </w:p>
    <w:p w:rsidRPr="003A01B3" w:rsidR="00447DF1" w:rsidP="00447DF1" w:rsidRDefault="00447DF1" w14:paraId="77D4B974" w14:textId="77777777">
      <w:pPr>
        <w:pStyle w:val="ListParagraph"/>
        <w:tabs>
          <w:tab w:val="left" w:pos="540"/>
        </w:tabs>
        <w:ind w:left="540"/>
        <w:contextualSpacing w:val="0"/>
        <w:jc w:val="both"/>
        <w:rPr>
          <w:i/>
          <w:iCs/>
          <w:sz w:val="22"/>
          <w:szCs w:val="22"/>
        </w:rPr>
      </w:pPr>
      <w:r w:rsidRPr="003A01B3">
        <w:rPr>
          <w:i/>
          <w:iCs/>
          <w:sz w:val="22"/>
          <w:szCs w:val="22"/>
          <w:lang w:val="en-GB"/>
        </w:rPr>
        <w:t xml:space="preserve">“The </w:t>
      </w:r>
      <w:r w:rsidRPr="003A01B3">
        <w:rPr>
          <w:i/>
          <w:iCs/>
          <w:sz w:val="22"/>
          <w:szCs w:val="22"/>
        </w:rPr>
        <w:t>approval</w:t>
      </w:r>
      <w:r w:rsidRPr="003A01B3">
        <w:rPr>
          <w:i/>
          <w:iCs/>
          <w:sz w:val="22"/>
          <w:szCs w:val="22"/>
          <w:lang w:val="en-GB"/>
        </w:rPr>
        <w:t xml:space="preserve"> of </w:t>
      </w:r>
      <w:r w:rsidRPr="003A01B3">
        <w:rPr>
          <w:i/>
          <w:iCs/>
          <w:sz w:val="22"/>
          <w:szCs w:val="22"/>
        </w:rPr>
        <w:t>the</w:t>
      </w:r>
      <w:r w:rsidRPr="003A01B3">
        <w:rPr>
          <w:i/>
          <w:iCs/>
          <w:sz w:val="22"/>
          <w:szCs w:val="22"/>
          <w:lang w:val="en-GB"/>
        </w:rPr>
        <w:t xml:space="preserve"> Remuneration Report of Fondul Proprietatea for the 2024 financial year. </w:t>
      </w:r>
    </w:p>
    <w:p w:rsidRPr="003A01B3" w:rsidR="00447DF1" w:rsidP="00447DF1" w:rsidRDefault="00447DF1" w14:paraId="36DB96BF" w14:textId="77777777">
      <w:pPr>
        <w:pStyle w:val="ListParagraph"/>
        <w:rPr>
          <w:i/>
          <w:iCs/>
          <w:sz w:val="22"/>
          <w:szCs w:val="22"/>
          <w:lang w:val="en-GB"/>
        </w:rPr>
      </w:pPr>
    </w:p>
    <w:p w:rsidRPr="003A01B3" w:rsidR="00447DF1" w:rsidP="00447DF1" w:rsidRDefault="00447DF1" w14:paraId="2132DDC1" w14:textId="77777777">
      <w:pPr>
        <w:pStyle w:val="ListParagraph"/>
        <w:tabs>
          <w:tab w:val="left" w:pos="540"/>
        </w:tabs>
        <w:ind w:left="540"/>
        <w:jc w:val="both"/>
        <w:rPr>
          <w:i/>
          <w:iCs/>
          <w:sz w:val="22"/>
          <w:szCs w:val="22"/>
        </w:rPr>
      </w:pPr>
      <w:r w:rsidRPr="56DE727F" w:rsidR="00447DF1">
        <w:rPr>
          <w:i w:val="1"/>
          <w:iCs w:val="1"/>
          <w:sz w:val="22"/>
          <w:szCs w:val="22"/>
          <w:lang w:val="en-GB"/>
        </w:rPr>
        <w:t>(consultative vote)”</w:t>
      </w:r>
    </w:p>
    <w:p w:rsidR="56DE727F" w:rsidP="56DE727F" w:rsidRDefault="56DE727F" w14:paraId="5052FF35" w14:textId="05CB45F6">
      <w:pPr>
        <w:pStyle w:val="ListParagraph"/>
        <w:tabs>
          <w:tab w:val="left" w:leader="none" w:pos="540"/>
        </w:tabs>
        <w:ind w:left="540"/>
        <w:jc w:val="both"/>
        <w:rPr>
          <w:i w:val="1"/>
          <w:iCs w:val="1"/>
          <w:sz w:val="22"/>
          <w:szCs w:val="22"/>
          <w:lang w:val="en-GB"/>
        </w:rPr>
      </w:pPr>
    </w:p>
    <w:p w:rsidRPr="008713B0" w:rsidR="00447DF1" w:rsidP="00447DF1" w:rsidRDefault="00447DF1" w14:paraId="3771E9B7" w14:textId="77777777">
      <w:pPr>
        <w:jc w:val="both"/>
        <w:rPr>
          <w:color w:val="0000FF"/>
          <w:sz w:val="22"/>
          <w:szCs w:val="22"/>
          <w:lang w:val="en-GB"/>
        </w:rPr>
      </w:pPr>
    </w:p>
    <w:tbl>
      <w:tblPr>
        <w:tblW w:w="8550" w:type="dxa"/>
        <w:tblInd w:w="535" w:type="dxa"/>
        <w:tblLayout w:type="fixed"/>
        <w:tblLook w:val="04A0" w:firstRow="1" w:lastRow="0" w:firstColumn="1" w:lastColumn="0" w:noHBand="0" w:noVBand="1"/>
      </w:tblPr>
      <w:tblGrid>
        <w:gridCol w:w="2559"/>
        <w:gridCol w:w="2815"/>
        <w:gridCol w:w="3176"/>
      </w:tblGrid>
      <w:tr w:rsidRPr="006B457D" w:rsidR="00447DF1" w:rsidTr="00765244" w14:paraId="22B49183" w14:textId="77777777">
        <w:trPr>
          <w:trHeight w:val="300"/>
        </w:trPr>
        <w:tc>
          <w:tcPr>
            <w:tcW w:w="255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C10B6" w:rsidR="00447DF1" w:rsidP="00765244" w:rsidRDefault="00447DF1" w14:paraId="281FD897" w14:textId="77777777">
            <w:pPr>
              <w:jc w:val="both"/>
              <w:rPr>
                <w:b/>
                <w:bCs/>
                <w:color w:val="000000"/>
                <w:sz w:val="22"/>
                <w:szCs w:val="22"/>
                <w:lang w:val="en-GB"/>
              </w:rPr>
            </w:pPr>
            <w:r w:rsidRPr="008C10B6">
              <w:rPr>
                <w:b/>
                <w:bCs/>
                <w:color w:val="000000"/>
                <w:sz w:val="22"/>
                <w:szCs w:val="22"/>
                <w:lang w:val="en-GB"/>
              </w:rPr>
              <w:t> FOR</w:t>
            </w:r>
          </w:p>
        </w:tc>
        <w:tc>
          <w:tcPr>
            <w:tcW w:w="2815" w:type="dxa"/>
            <w:tcBorders>
              <w:top w:val="single" w:color="auto" w:sz="4" w:space="0"/>
              <w:left w:val="nil"/>
              <w:bottom w:val="single" w:color="auto" w:sz="4" w:space="0"/>
              <w:right w:val="single" w:color="auto" w:sz="4" w:space="0"/>
            </w:tcBorders>
            <w:shd w:val="clear" w:color="auto" w:fill="auto"/>
            <w:noWrap/>
            <w:vAlign w:val="bottom"/>
            <w:hideMark/>
          </w:tcPr>
          <w:p w:rsidRPr="008C10B6" w:rsidR="00447DF1" w:rsidP="00765244" w:rsidRDefault="00447DF1" w14:paraId="68C4DACA" w14:textId="77777777">
            <w:pPr>
              <w:jc w:val="both"/>
              <w:rPr>
                <w:b/>
                <w:bCs/>
                <w:color w:val="000000"/>
                <w:sz w:val="22"/>
                <w:szCs w:val="22"/>
                <w:lang w:val="en-GB"/>
              </w:rPr>
            </w:pPr>
            <w:r w:rsidRPr="008C10B6">
              <w:rPr>
                <w:b/>
                <w:bCs/>
                <w:color w:val="000000"/>
                <w:sz w:val="22"/>
                <w:szCs w:val="22"/>
                <w:lang w:val="en-GB"/>
              </w:rPr>
              <w:t>AGAINST</w:t>
            </w:r>
          </w:p>
        </w:tc>
        <w:tc>
          <w:tcPr>
            <w:tcW w:w="3176" w:type="dxa"/>
            <w:tcBorders>
              <w:top w:val="single" w:color="auto" w:sz="4" w:space="0"/>
              <w:left w:val="nil"/>
              <w:bottom w:val="single" w:color="auto" w:sz="4" w:space="0"/>
              <w:right w:val="single" w:color="auto" w:sz="4" w:space="0"/>
            </w:tcBorders>
            <w:shd w:val="clear" w:color="auto" w:fill="auto"/>
            <w:noWrap/>
            <w:vAlign w:val="bottom"/>
            <w:hideMark/>
          </w:tcPr>
          <w:p w:rsidRPr="008C10B6" w:rsidR="00447DF1" w:rsidP="00765244" w:rsidRDefault="00447DF1" w14:paraId="630A7197" w14:textId="77777777">
            <w:pPr>
              <w:jc w:val="both"/>
              <w:rPr>
                <w:b/>
                <w:bCs/>
                <w:color w:val="000000"/>
                <w:sz w:val="22"/>
                <w:szCs w:val="22"/>
                <w:lang w:val="en-GB"/>
              </w:rPr>
            </w:pPr>
            <w:r w:rsidRPr="008C10B6">
              <w:rPr>
                <w:b/>
                <w:bCs/>
                <w:color w:val="000000"/>
                <w:sz w:val="22"/>
                <w:szCs w:val="22"/>
                <w:lang w:val="en-GB"/>
              </w:rPr>
              <w:t> ABSTENTION</w:t>
            </w:r>
          </w:p>
        </w:tc>
      </w:tr>
      <w:tr w:rsidRPr="006B457D" w:rsidR="00447DF1" w:rsidTr="00765244" w14:paraId="7BDDEA5A" w14:textId="77777777">
        <w:trPr>
          <w:trHeight w:val="300"/>
        </w:trPr>
        <w:tc>
          <w:tcPr>
            <w:tcW w:w="2559" w:type="dxa"/>
            <w:tcBorders>
              <w:top w:val="nil"/>
              <w:left w:val="single" w:color="auto" w:sz="4" w:space="0"/>
              <w:bottom w:val="single" w:color="auto" w:sz="4" w:space="0"/>
              <w:right w:val="single" w:color="auto" w:sz="4" w:space="0"/>
            </w:tcBorders>
            <w:shd w:val="clear" w:color="auto" w:fill="auto"/>
            <w:noWrap/>
            <w:vAlign w:val="bottom"/>
            <w:hideMark/>
          </w:tcPr>
          <w:p w:rsidRPr="008713B0" w:rsidR="00447DF1" w:rsidP="00765244" w:rsidRDefault="00447DF1" w14:paraId="043F1866" w14:textId="77777777">
            <w:pPr>
              <w:jc w:val="both"/>
              <w:rPr>
                <w:color w:val="000000"/>
                <w:sz w:val="22"/>
                <w:szCs w:val="22"/>
                <w:lang w:val="en-GB"/>
              </w:rPr>
            </w:pPr>
          </w:p>
        </w:tc>
        <w:tc>
          <w:tcPr>
            <w:tcW w:w="2815" w:type="dxa"/>
            <w:tcBorders>
              <w:top w:val="nil"/>
              <w:left w:val="nil"/>
              <w:bottom w:val="single" w:color="auto" w:sz="4" w:space="0"/>
              <w:right w:val="single" w:color="auto" w:sz="4" w:space="0"/>
            </w:tcBorders>
            <w:shd w:val="clear" w:color="auto" w:fill="auto"/>
            <w:noWrap/>
            <w:vAlign w:val="bottom"/>
            <w:hideMark/>
          </w:tcPr>
          <w:p w:rsidRPr="008713B0" w:rsidR="00447DF1" w:rsidP="00765244" w:rsidRDefault="00447DF1" w14:paraId="0397B150" w14:textId="77777777">
            <w:pPr>
              <w:jc w:val="both"/>
              <w:rPr>
                <w:color w:val="000000"/>
                <w:sz w:val="22"/>
                <w:szCs w:val="22"/>
                <w:lang w:val="en-GB"/>
              </w:rPr>
            </w:pPr>
          </w:p>
        </w:tc>
        <w:tc>
          <w:tcPr>
            <w:tcW w:w="3176" w:type="dxa"/>
            <w:tcBorders>
              <w:top w:val="nil"/>
              <w:left w:val="nil"/>
              <w:bottom w:val="single" w:color="auto" w:sz="4" w:space="0"/>
              <w:right w:val="single" w:color="auto" w:sz="4" w:space="0"/>
            </w:tcBorders>
            <w:shd w:val="clear" w:color="auto" w:fill="auto"/>
            <w:noWrap/>
            <w:vAlign w:val="bottom"/>
            <w:hideMark/>
          </w:tcPr>
          <w:p w:rsidRPr="008713B0" w:rsidR="00447DF1" w:rsidP="00765244" w:rsidRDefault="00447DF1" w14:paraId="6D79FCA3" w14:textId="77777777">
            <w:pPr>
              <w:jc w:val="both"/>
              <w:rPr>
                <w:color w:val="000000"/>
                <w:sz w:val="22"/>
                <w:szCs w:val="22"/>
                <w:lang w:val="en-GB"/>
              </w:rPr>
            </w:pPr>
          </w:p>
        </w:tc>
      </w:tr>
    </w:tbl>
    <w:p w:rsidR="00447DF1" w:rsidP="00447DF1" w:rsidRDefault="00447DF1" w14:paraId="0B7489B1" w14:textId="77777777">
      <w:pPr>
        <w:ind w:left="450"/>
        <w:jc w:val="both"/>
        <w:rPr>
          <w:i/>
          <w:sz w:val="22"/>
          <w:szCs w:val="22"/>
          <w:lang w:val="en-GB" w:eastAsia="ro-RO"/>
        </w:rPr>
      </w:pPr>
    </w:p>
    <w:p w:rsidRPr="003A01B3" w:rsidR="00447DF1" w:rsidP="00447DF1" w:rsidRDefault="00447DF1" w14:paraId="10D2FCAF" w14:textId="77777777">
      <w:pPr>
        <w:pStyle w:val="ListParagraph"/>
        <w:ind w:left="450"/>
        <w:contextualSpacing w:val="0"/>
        <w:jc w:val="both"/>
        <w:rPr>
          <w:sz w:val="22"/>
          <w:szCs w:val="22"/>
          <w:lang w:val="en-GB" w:eastAsia="ro-RO"/>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Pr>
          <w:i/>
          <w:sz w:val="22"/>
          <w:szCs w:val="22"/>
          <w:lang w:val="en-GB" w:eastAsia="ro-RO"/>
        </w:rPr>
        <w:t xml:space="preserve">mean that </w:t>
      </w:r>
      <w:r w:rsidRPr="008713B0">
        <w:rPr>
          <w:i/>
          <w:sz w:val="22"/>
          <w:szCs w:val="22"/>
          <w:lang w:val="en-GB" w:eastAsia="ro-RO"/>
        </w:rPr>
        <w:t>the vote will not be taken into consideration</w:t>
      </w:r>
      <w:r w:rsidRPr="008713B0">
        <w:rPr>
          <w:sz w:val="22"/>
          <w:szCs w:val="22"/>
          <w:lang w:val="en-GB" w:eastAsia="ro-RO"/>
        </w:rPr>
        <w:t>.</w:t>
      </w:r>
    </w:p>
    <w:p w:rsidR="00447DF1" w:rsidP="00447DF1" w:rsidRDefault="00447DF1" w14:paraId="09346D97" w14:textId="77777777">
      <w:pPr>
        <w:jc w:val="both"/>
        <w:rPr>
          <w:color w:val="0000FF"/>
          <w:sz w:val="22"/>
          <w:szCs w:val="22"/>
          <w:lang w:val="en-GB"/>
        </w:rPr>
      </w:pPr>
    </w:p>
    <w:p w:rsidR="00447DF1" w:rsidP="00447DF1" w:rsidRDefault="00447DF1" w14:paraId="3B5CED2F" w14:textId="77777777">
      <w:pPr>
        <w:pStyle w:val="ListParagraph"/>
        <w:numPr>
          <w:ilvl w:val="0"/>
          <w:numId w:val="2"/>
        </w:numPr>
        <w:ind w:left="450"/>
        <w:contextualSpacing w:val="0"/>
        <w:jc w:val="both"/>
        <w:rPr>
          <w:sz w:val="22"/>
          <w:szCs w:val="22"/>
          <w:lang w:val="en-GB"/>
        </w:rPr>
      </w:pPr>
      <w:r>
        <w:rPr>
          <w:b/>
          <w:bCs/>
          <w:iCs/>
          <w:sz w:val="22"/>
          <w:szCs w:val="22"/>
          <w:lang w:val="en-GB" w:eastAsia="ro-RO"/>
        </w:rPr>
        <w:t>For item 4 on the agenda</w:t>
      </w:r>
      <w:r w:rsidRPr="00910135">
        <w:rPr>
          <w:b/>
          <w:bCs/>
          <w:iCs/>
          <w:sz w:val="22"/>
          <w:szCs w:val="22"/>
          <w:lang w:val="en-GB" w:eastAsia="ro-RO"/>
        </w:rPr>
        <w:t xml:space="preserve">, </w:t>
      </w:r>
      <w:r w:rsidRPr="00910135">
        <w:rPr>
          <w:b/>
          <w:bCs/>
          <w:sz w:val="22"/>
          <w:szCs w:val="22"/>
          <w:lang w:val="en-GB"/>
        </w:rPr>
        <w:t>respectively:</w:t>
      </w:r>
      <w:r w:rsidRPr="005B166A">
        <w:rPr>
          <w:sz w:val="22"/>
          <w:szCs w:val="22"/>
          <w:lang w:val="en-GB"/>
        </w:rPr>
        <w:t xml:space="preserve"> </w:t>
      </w:r>
    </w:p>
    <w:p w:rsidR="00447DF1" w:rsidP="00447DF1" w:rsidRDefault="00447DF1" w14:paraId="7703E7CE" w14:textId="77777777">
      <w:pPr>
        <w:pStyle w:val="ListParagraph"/>
        <w:ind w:left="450"/>
        <w:contextualSpacing w:val="0"/>
        <w:jc w:val="both"/>
        <w:rPr>
          <w:sz w:val="22"/>
          <w:szCs w:val="22"/>
          <w:lang w:val="en-GB"/>
        </w:rPr>
      </w:pPr>
    </w:p>
    <w:p w:rsidR="00447DF1" w:rsidP="00447DF1" w:rsidRDefault="00447DF1" w14:paraId="6BE0D1D4" w14:textId="77777777">
      <w:pPr>
        <w:pStyle w:val="ListParagraph"/>
        <w:ind w:left="450"/>
        <w:contextualSpacing w:val="0"/>
        <w:jc w:val="both"/>
        <w:rPr>
          <w:i/>
          <w:iCs/>
          <w:sz w:val="22"/>
          <w:szCs w:val="22"/>
          <w:lang w:val="en-GB"/>
        </w:rPr>
      </w:pPr>
      <w:r w:rsidRPr="003A01B3">
        <w:rPr>
          <w:i/>
          <w:iCs/>
          <w:sz w:val="22"/>
          <w:szCs w:val="22"/>
          <w:lang w:val="en-GB"/>
        </w:rPr>
        <w:t>“</w:t>
      </w:r>
      <w:r w:rsidRPr="00657609">
        <w:rPr>
          <w:i/>
          <w:iCs/>
          <w:sz w:val="22"/>
          <w:szCs w:val="22"/>
          <w:lang w:val="en-GB"/>
        </w:rPr>
        <w:t>The approval of the Remuneration Policy of Fondul Proprietatea applicable to the mandate of the Fund Manager which started on 1 April 2025, as described in the supporting documentation.”</w:t>
      </w:r>
    </w:p>
    <w:p w:rsidRPr="008713B0" w:rsidR="00447DF1" w:rsidP="00447DF1" w:rsidRDefault="00447DF1" w14:paraId="2ADEA5EE" w14:textId="77777777">
      <w:pPr>
        <w:jc w:val="both"/>
        <w:rPr>
          <w:color w:val="0000FF"/>
          <w:sz w:val="22"/>
          <w:szCs w:val="22"/>
          <w:lang w:val="en-GB"/>
        </w:rPr>
      </w:pPr>
    </w:p>
    <w:tbl>
      <w:tblPr>
        <w:tblW w:w="8550" w:type="dxa"/>
        <w:tblInd w:w="535" w:type="dxa"/>
        <w:tblLayout w:type="fixed"/>
        <w:tblLook w:val="04A0" w:firstRow="1" w:lastRow="0" w:firstColumn="1" w:lastColumn="0" w:noHBand="0" w:noVBand="1"/>
      </w:tblPr>
      <w:tblGrid>
        <w:gridCol w:w="2559"/>
        <w:gridCol w:w="2815"/>
        <w:gridCol w:w="3176"/>
      </w:tblGrid>
      <w:tr w:rsidRPr="006B457D" w:rsidR="00447DF1" w:rsidTr="00765244" w14:paraId="211AAE1B" w14:textId="77777777">
        <w:trPr>
          <w:trHeight w:val="300"/>
        </w:trPr>
        <w:tc>
          <w:tcPr>
            <w:tcW w:w="255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C10B6" w:rsidR="00447DF1" w:rsidP="00765244" w:rsidRDefault="00447DF1" w14:paraId="3A90754D" w14:textId="77777777">
            <w:pPr>
              <w:jc w:val="both"/>
              <w:rPr>
                <w:b/>
                <w:bCs/>
                <w:color w:val="000000"/>
                <w:sz w:val="22"/>
                <w:szCs w:val="22"/>
                <w:lang w:val="en-GB"/>
              </w:rPr>
            </w:pPr>
            <w:r w:rsidRPr="008C10B6">
              <w:rPr>
                <w:b/>
                <w:bCs/>
                <w:color w:val="000000"/>
                <w:sz w:val="22"/>
                <w:szCs w:val="22"/>
                <w:lang w:val="en-GB"/>
              </w:rPr>
              <w:t> FOR</w:t>
            </w:r>
          </w:p>
        </w:tc>
        <w:tc>
          <w:tcPr>
            <w:tcW w:w="2815" w:type="dxa"/>
            <w:tcBorders>
              <w:top w:val="single" w:color="auto" w:sz="4" w:space="0"/>
              <w:left w:val="nil"/>
              <w:bottom w:val="single" w:color="auto" w:sz="4" w:space="0"/>
              <w:right w:val="single" w:color="auto" w:sz="4" w:space="0"/>
            </w:tcBorders>
            <w:shd w:val="clear" w:color="auto" w:fill="auto"/>
            <w:noWrap/>
            <w:vAlign w:val="bottom"/>
            <w:hideMark/>
          </w:tcPr>
          <w:p w:rsidRPr="008C10B6" w:rsidR="00447DF1" w:rsidP="00765244" w:rsidRDefault="00447DF1" w14:paraId="52F0DCA5" w14:textId="77777777">
            <w:pPr>
              <w:jc w:val="both"/>
              <w:rPr>
                <w:b/>
                <w:bCs/>
                <w:color w:val="000000"/>
                <w:sz w:val="22"/>
                <w:szCs w:val="22"/>
                <w:lang w:val="en-GB"/>
              </w:rPr>
            </w:pPr>
            <w:r w:rsidRPr="008C10B6">
              <w:rPr>
                <w:b/>
                <w:bCs/>
                <w:color w:val="000000"/>
                <w:sz w:val="22"/>
                <w:szCs w:val="22"/>
                <w:lang w:val="en-GB"/>
              </w:rPr>
              <w:t>AGAINST</w:t>
            </w:r>
          </w:p>
        </w:tc>
        <w:tc>
          <w:tcPr>
            <w:tcW w:w="3176" w:type="dxa"/>
            <w:tcBorders>
              <w:top w:val="single" w:color="auto" w:sz="4" w:space="0"/>
              <w:left w:val="nil"/>
              <w:bottom w:val="single" w:color="auto" w:sz="4" w:space="0"/>
              <w:right w:val="single" w:color="auto" w:sz="4" w:space="0"/>
            </w:tcBorders>
            <w:shd w:val="clear" w:color="auto" w:fill="auto"/>
            <w:noWrap/>
            <w:vAlign w:val="bottom"/>
            <w:hideMark/>
          </w:tcPr>
          <w:p w:rsidRPr="008C10B6" w:rsidR="00447DF1" w:rsidP="00765244" w:rsidRDefault="00447DF1" w14:paraId="7D4D7F54" w14:textId="77777777">
            <w:pPr>
              <w:jc w:val="both"/>
              <w:rPr>
                <w:b/>
                <w:bCs/>
                <w:color w:val="000000"/>
                <w:sz w:val="22"/>
                <w:szCs w:val="22"/>
                <w:lang w:val="en-GB"/>
              </w:rPr>
            </w:pPr>
            <w:r w:rsidRPr="008C10B6">
              <w:rPr>
                <w:b/>
                <w:bCs/>
                <w:color w:val="000000"/>
                <w:sz w:val="22"/>
                <w:szCs w:val="22"/>
                <w:lang w:val="en-GB"/>
              </w:rPr>
              <w:t> ABSTENTION</w:t>
            </w:r>
          </w:p>
        </w:tc>
      </w:tr>
      <w:tr w:rsidRPr="006B457D" w:rsidR="00447DF1" w:rsidTr="00765244" w14:paraId="377C8FCC" w14:textId="77777777">
        <w:trPr>
          <w:trHeight w:val="300"/>
        </w:trPr>
        <w:tc>
          <w:tcPr>
            <w:tcW w:w="2559" w:type="dxa"/>
            <w:tcBorders>
              <w:top w:val="nil"/>
              <w:left w:val="single" w:color="auto" w:sz="4" w:space="0"/>
              <w:bottom w:val="single" w:color="auto" w:sz="4" w:space="0"/>
              <w:right w:val="single" w:color="auto" w:sz="4" w:space="0"/>
            </w:tcBorders>
            <w:shd w:val="clear" w:color="auto" w:fill="auto"/>
            <w:noWrap/>
            <w:vAlign w:val="bottom"/>
            <w:hideMark/>
          </w:tcPr>
          <w:p w:rsidRPr="008713B0" w:rsidR="00447DF1" w:rsidP="00765244" w:rsidRDefault="00447DF1" w14:paraId="17960D90" w14:textId="77777777">
            <w:pPr>
              <w:jc w:val="both"/>
              <w:rPr>
                <w:color w:val="000000"/>
                <w:sz w:val="22"/>
                <w:szCs w:val="22"/>
                <w:lang w:val="en-GB"/>
              </w:rPr>
            </w:pPr>
          </w:p>
        </w:tc>
        <w:tc>
          <w:tcPr>
            <w:tcW w:w="2815" w:type="dxa"/>
            <w:tcBorders>
              <w:top w:val="nil"/>
              <w:left w:val="nil"/>
              <w:bottom w:val="single" w:color="auto" w:sz="4" w:space="0"/>
              <w:right w:val="single" w:color="auto" w:sz="4" w:space="0"/>
            </w:tcBorders>
            <w:shd w:val="clear" w:color="auto" w:fill="auto"/>
            <w:noWrap/>
            <w:vAlign w:val="bottom"/>
            <w:hideMark/>
          </w:tcPr>
          <w:p w:rsidRPr="008713B0" w:rsidR="00447DF1" w:rsidP="00765244" w:rsidRDefault="00447DF1" w14:paraId="72931949" w14:textId="77777777">
            <w:pPr>
              <w:jc w:val="both"/>
              <w:rPr>
                <w:color w:val="000000"/>
                <w:sz w:val="22"/>
                <w:szCs w:val="22"/>
                <w:lang w:val="en-GB"/>
              </w:rPr>
            </w:pPr>
          </w:p>
        </w:tc>
        <w:tc>
          <w:tcPr>
            <w:tcW w:w="3176" w:type="dxa"/>
            <w:tcBorders>
              <w:top w:val="nil"/>
              <w:left w:val="nil"/>
              <w:bottom w:val="single" w:color="auto" w:sz="4" w:space="0"/>
              <w:right w:val="single" w:color="auto" w:sz="4" w:space="0"/>
            </w:tcBorders>
            <w:shd w:val="clear" w:color="auto" w:fill="auto"/>
            <w:noWrap/>
            <w:vAlign w:val="bottom"/>
            <w:hideMark/>
          </w:tcPr>
          <w:p w:rsidRPr="008713B0" w:rsidR="00447DF1" w:rsidP="00765244" w:rsidRDefault="00447DF1" w14:paraId="103E0CC5" w14:textId="77777777">
            <w:pPr>
              <w:jc w:val="both"/>
              <w:rPr>
                <w:color w:val="000000"/>
                <w:sz w:val="22"/>
                <w:szCs w:val="22"/>
                <w:lang w:val="en-GB"/>
              </w:rPr>
            </w:pPr>
          </w:p>
        </w:tc>
      </w:tr>
    </w:tbl>
    <w:p w:rsidR="00447DF1" w:rsidP="00447DF1" w:rsidRDefault="00447DF1" w14:paraId="40A561B9" w14:textId="77777777">
      <w:pPr>
        <w:ind w:left="450"/>
        <w:jc w:val="both"/>
        <w:rPr>
          <w:i/>
          <w:sz w:val="22"/>
          <w:szCs w:val="22"/>
          <w:lang w:val="en-GB" w:eastAsia="ro-RO"/>
        </w:rPr>
      </w:pPr>
    </w:p>
    <w:p w:rsidRPr="003A01B3" w:rsidR="00447DF1" w:rsidP="00447DF1" w:rsidRDefault="00447DF1" w14:paraId="23A2BD2B" w14:textId="77777777">
      <w:pPr>
        <w:pStyle w:val="ListParagraph"/>
        <w:ind w:left="450"/>
        <w:contextualSpacing w:val="0"/>
        <w:jc w:val="both"/>
        <w:rPr>
          <w:sz w:val="22"/>
          <w:szCs w:val="22"/>
          <w:lang w:val="en-GB" w:eastAsia="ro-RO"/>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Pr>
          <w:i/>
          <w:sz w:val="22"/>
          <w:szCs w:val="22"/>
          <w:lang w:val="en-GB" w:eastAsia="ro-RO"/>
        </w:rPr>
        <w:t xml:space="preserve">mean that </w:t>
      </w:r>
      <w:r w:rsidRPr="008713B0">
        <w:rPr>
          <w:i/>
          <w:sz w:val="22"/>
          <w:szCs w:val="22"/>
          <w:lang w:val="en-GB" w:eastAsia="ro-RO"/>
        </w:rPr>
        <w:t>the vote will not be taken into consideration</w:t>
      </w:r>
      <w:r w:rsidRPr="008713B0">
        <w:rPr>
          <w:sz w:val="22"/>
          <w:szCs w:val="22"/>
          <w:lang w:val="en-GB" w:eastAsia="ro-RO"/>
        </w:rPr>
        <w:t>.</w:t>
      </w:r>
    </w:p>
    <w:p w:rsidRPr="00657609" w:rsidR="00447DF1" w:rsidP="00447DF1" w:rsidRDefault="00447DF1" w14:paraId="353FCE9F" w14:textId="77777777">
      <w:pPr>
        <w:pStyle w:val="ListParagraph"/>
        <w:ind w:left="450"/>
        <w:contextualSpacing w:val="0"/>
        <w:jc w:val="both"/>
        <w:rPr>
          <w:i/>
          <w:iCs/>
          <w:sz w:val="22"/>
          <w:szCs w:val="22"/>
          <w:lang w:val="en-GB"/>
        </w:rPr>
      </w:pPr>
    </w:p>
    <w:p w:rsidRPr="003A01B3" w:rsidR="00447DF1" w:rsidP="00447DF1" w:rsidRDefault="00447DF1" w14:paraId="6BE685D9" w14:textId="77777777">
      <w:pPr>
        <w:pStyle w:val="ListParagraph"/>
        <w:ind w:left="450"/>
        <w:contextualSpacing w:val="0"/>
        <w:jc w:val="both"/>
        <w:rPr>
          <w:color w:val="0000FF"/>
          <w:sz w:val="22"/>
          <w:szCs w:val="22"/>
          <w:lang w:val="en-GB"/>
        </w:rPr>
      </w:pPr>
    </w:p>
    <w:p w:rsidR="00447DF1" w:rsidP="00447DF1" w:rsidRDefault="00447DF1" w14:paraId="05A9B8BE" w14:textId="77777777">
      <w:pPr>
        <w:pStyle w:val="ListParagraph"/>
        <w:numPr>
          <w:ilvl w:val="0"/>
          <w:numId w:val="2"/>
        </w:numPr>
        <w:ind w:left="450"/>
        <w:contextualSpacing w:val="0"/>
        <w:jc w:val="both"/>
        <w:rPr>
          <w:b/>
          <w:bCs/>
          <w:sz w:val="22"/>
          <w:szCs w:val="22"/>
          <w:lang w:val="en-GB"/>
        </w:rPr>
      </w:pPr>
      <w:r>
        <w:rPr>
          <w:b/>
          <w:bCs/>
          <w:sz w:val="22"/>
          <w:szCs w:val="22"/>
          <w:lang w:val="en-GB"/>
        </w:rPr>
        <w:t>For item 5 on the agenda, respectively:</w:t>
      </w:r>
    </w:p>
    <w:p w:rsidR="00447DF1" w:rsidP="00447DF1" w:rsidRDefault="00447DF1" w14:paraId="5B20FB82" w14:textId="77777777">
      <w:pPr>
        <w:pStyle w:val="ListParagraph"/>
        <w:ind w:left="450"/>
        <w:contextualSpacing w:val="0"/>
        <w:jc w:val="both"/>
        <w:rPr>
          <w:b/>
          <w:bCs/>
          <w:sz w:val="22"/>
          <w:szCs w:val="22"/>
          <w:lang w:val="en-GB"/>
        </w:rPr>
      </w:pPr>
    </w:p>
    <w:p w:rsidR="00447DF1" w:rsidP="00447DF1" w:rsidRDefault="00447DF1" w14:paraId="1B5D83B2" w14:textId="77777777">
      <w:pPr>
        <w:pStyle w:val="ListParagraph"/>
        <w:ind w:left="450"/>
        <w:contextualSpacing w:val="0"/>
        <w:jc w:val="both"/>
        <w:rPr>
          <w:i/>
          <w:iCs/>
          <w:sz w:val="22"/>
          <w:szCs w:val="22"/>
          <w:lang w:val="en-GB"/>
        </w:rPr>
      </w:pPr>
      <w:r w:rsidRPr="003A01B3">
        <w:rPr>
          <w:i/>
          <w:iCs/>
          <w:sz w:val="22"/>
          <w:szCs w:val="22"/>
          <w:lang w:val="en-GB"/>
        </w:rPr>
        <w:t>“</w:t>
      </w:r>
      <w:r w:rsidRPr="004038BC">
        <w:rPr>
          <w:i/>
          <w:iCs/>
          <w:sz w:val="22"/>
          <w:szCs w:val="22"/>
          <w:lang w:val="en-GB"/>
        </w:rPr>
        <w:t>The approval to partially cover with the amount of RON 689,417,797.42 from various elements of Retained earnings the negative reserves of RON 774,756,257.81 incurred during 2024 on the cancellation of the treasury shares acquired during 2023, in accordance with the supporting materials.</w:t>
      </w:r>
      <w:r>
        <w:rPr>
          <w:i/>
          <w:iCs/>
          <w:sz w:val="22"/>
          <w:szCs w:val="22"/>
          <w:lang w:val="en-GB"/>
        </w:rPr>
        <w:t>”</w:t>
      </w:r>
    </w:p>
    <w:p w:rsidR="00447DF1" w:rsidP="00447DF1" w:rsidRDefault="00447DF1" w14:paraId="6D91F27E" w14:textId="77777777">
      <w:pPr>
        <w:pStyle w:val="ListParagraph"/>
        <w:ind w:left="450"/>
        <w:contextualSpacing w:val="0"/>
        <w:jc w:val="both"/>
        <w:rPr>
          <w:i/>
          <w:iCs/>
          <w:sz w:val="22"/>
          <w:szCs w:val="22"/>
          <w:lang w:val="en-GB"/>
        </w:rPr>
      </w:pPr>
    </w:p>
    <w:tbl>
      <w:tblPr>
        <w:tblW w:w="8550" w:type="dxa"/>
        <w:tblInd w:w="535" w:type="dxa"/>
        <w:tblLayout w:type="fixed"/>
        <w:tblLook w:val="04A0" w:firstRow="1" w:lastRow="0" w:firstColumn="1" w:lastColumn="0" w:noHBand="0" w:noVBand="1"/>
      </w:tblPr>
      <w:tblGrid>
        <w:gridCol w:w="2559"/>
        <w:gridCol w:w="2815"/>
        <w:gridCol w:w="3176"/>
      </w:tblGrid>
      <w:tr w:rsidRPr="006B457D" w:rsidR="00447DF1" w:rsidTr="00765244" w14:paraId="0A7A6637" w14:textId="77777777">
        <w:trPr>
          <w:trHeight w:val="300"/>
        </w:trPr>
        <w:tc>
          <w:tcPr>
            <w:tcW w:w="255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C10B6" w:rsidR="00447DF1" w:rsidP="00765244" w:rsidRDefault="00447DF1" w14:paraId="1310B9C5" w14:textId="77777777">
            <w:pPr>
              <w:jc w:val="both"/>
              <w:rPr>
                <w:b/>
                <w:bCs/>
                <w:color w:val="000000"/>
                <w:sz w:val="22"/>
                <w:szCs w:val="22"/>
                <w:lang w:val="en-GB"/>
              </w:rPr>
            </w:pPr>
            <w:r w:rsidRPr="008C10B6">
              <w:rPr>
                <w:b/>
                <w:bCs/>
                <w:color w:val="000000"/>
                <w:sz w:val="22"/>
                <w:szCs w:val="22"/>
                <w:lang w:val="en-GB"/>
              </w:rPr>
              <w:t> FOR</w:t>
            </w:r>
          </w:p>
        </w:tc>
        <w:tc>
          <w:tcPr>
            <w:tcW w:w="2815" w:type="dxa"/>
            <w:tcBorders>
              <w:top w:val="single" w:color="auto" w:sz="4" w:space="0"/>
              <w:left w:val="nil"/>
              <w:bottom w:val="single" w:color="auto" w:sz="4" w:space="0"/>
              <w:right w:val="single" w:color="auto" w:sz="4" w:space="0"/>
            </w:tcBorders>
            <w:shd w:val="clear" w:color="auto" w:fill="auto"/>
            <w:noWrap/>
            <w:vAlign w:val="bottom"/>
            <w:hideMark/>
          </w:tcPr>
          <w:p w:rsidRPr="008C10B6" w:rsidR="00447DF1" w:rsidP="00765244" w:rsidRDefault="00447DF1" w14:paraId="03B386EC" w14:textId="77777777">
            <w:pPr>
              <w:jc w:val="both"/>
              <w:rPr>
                <w:b/>
                <w:bCs/>
                <w:color w:val="000000"/>
                <w:sz w:val="22"/>
                <w:szCs w:val="22"/>
                <w:lang w:val="en-GB"/>
              </w:rPr>
            </w:pPr>
            <w:r w:rsidRPr="008C10B6">
              <w:rPr>
                <w:b/>
                <w:bCs/>
                <w:color w:val="000000"/>
                <w:sz w:val="22"/>
                <w:szCs w:val="22"/>
                <w:lang w:val="en-GB"/>
              </w:rPr>
              <w:t>AGAINST</w:t>
            </w:r>
          </w:p>
        </w:tc>
        <w:tc>
          <w:tcPr>
            <w:tcW w:w="3176" w:type="dxa"/>
            <w:tcBorders>
              <w:top w:val="single" w:color="auto" w:sz="4" w:space="0"/>
              <w:left w:val="nil"/>
              <w:bottom w:val="single" w:color="auto" w:sz="4" w:space="0"/>
              <w:right w:val="single" w:color="auto" w:sz="4" w:space="0"/>
            </w:tcBorders>
            <w:shd w:val="clear" w:color="auto" w:fill="auto"/>
            <w:noWrap/>
            <w:vAlign w:val="bottom"/>
            <w:hideMark/>
          </w:tcPr>
          <w:p w:rsidRPr="008C10B6" w:rsidR="00447DF1" w:rsidP="00765244" w:rsidRDefault="00447DF1" w14:paraId="194BC2BC" w14:textId="77777777">
            <w:pPr>
              <w:jc w:val="both"/>
              <w:rPr>
                <w:b/>
                <w:bCs/>
                <w:color w:val="000000"/>
                <w:sz w:val="22"/>
                <w:szCs w:val="22"/>
                <w:lang w:val="en-GB"/>
              </w:rPr>
            </w:pPr>
            <w:r w:rsidRPr="008C10B6">
              <w:rPr>
                <w:b/>
                <w:bCs/>
                <w:color w:val="000000"/>
                <w:sz w:val="22"/>
                <w:szCs w:val="22"/>
                <w:lang w:val="en-GB"/>
              </w:rPr>
              <w:t> ABSTENTION</w:t>
            </w:r>
          </w:p>
        </w:tc>
      </w:tr>
      <w:tr w:rsidRPr="006B457D" w:rsidR="00447DF1" w:rsidTr="00765244" w14:paraId="6061EA99" w14:textId="77777777">
        <w:trPr>
          <w:trHeight w:val="300"/>
        </w:trPr>
        <w:tc>
          <w:tcPr>
            <w:tcW w:w="2559" w:type="dxa"/>
            <w:tcBorders>
              <w:top w:val="nil"/>
              <w:left w:val="single" w:color="auto" w:sz="4" w:space="0"/>
              <w:bottom w:val="single" w:color="auto" w:sz="4" w:space="0"/>
              <w:right w:val="single" w:color="auto" w:sz="4" w:space="0"/>
            </w:tcBorders>
            <w:shd w:val="clear" w:color="auto" w:fill="auto"/>
            <w:noWrap/>
            <w:vAlign w:val="bottom"/>
            <w:hideMark/>
          </w:tcPr>
          <w:p w:rsidRPr="008713B0" w:rsidR="00447DF1" w:rsidP="00765244" w:rsidRDefault="00447DF1" w14:paraId="14AFFD23" w14:textId="77777777">
            <w:pPr>
              <w:jc w:val="both"/>
              <w:rPr>
                <w:color w:val="000000"/>
                <w:sz w:val="22"/>
                <w:szCs w:val="22"/>
                <w:lang w:val="en-GB"/>
              </w:rPr>
            </w:pPr>
          </w:p>
        </w:tc>
        <w:tc>
          <w:tcPr>
            <w:tcW w:w="2815" w:type="dxa"/>
            <w:tcBorders>
              <w:top w:val="nil"/>
              <w:left w:val="nil"/>
              <w:bottom w:val="single" w:color="auto" w:sz="4" w:space="0"/>
              <w:right w:val="single" w:color="auto" w:sz="4" w:space="0"/>
            </w:tcBorders>
            <w:shd w:val="clear" w:color="auto" w:fill="auto"/>
            <w:noWrap/>
            <w:vAlign w:val="bottom"/>
            <w:hideMark/>
          </w:tcPr>
          <w:p w:rsidRPr="008713B0" w:rsidR="00447DF1" w:rsidP="00765244" w:rsidRDefault="00447DF1" w14:paraId="3E8EE12F" w14:textId="77777777">
            <w:pPr>
              <w:jc w:val="both"/>
              <w:rPr>
                <w:color w:val="000000"/>
                <w:sz w:val="22"/>
                <w:szCs w:val="22"/>
                <w:lang w:val="en-GB"/>
              </w:rPr>
            </w:pPr>
          </w:p>
        </w:tc>
        <w:tc>
          <w:tcPr>
            <w:tcW w:w="3176" w:type="dxa"/>
            <w:tcBorders>
              <w:top w:val="nil"/>
              <w:left w:val="nil"/>
              <w:bottom w:val="single" w:color="auto" w:sz="4" w:space="0"/>
              <w:right w:val="single" w:color="auto" w:sz="4" w:space="0"/>
            </w:tcBorders>
            <w:shd w:val="clear" w:color="auto" w:fill="auto"/>
            <w:noWrap/>
            <w:vAlign w:val="bottom"/>
            <w:hideMark/>
          </w:tcPr>
          <w:p w:rsidRPr="008713B0" w:rsidR="00447DF1" w:rsidP="00765244" w:rsidRDefault="00447DF1" w14:paraId="0A61AE21" w14:textId="77777777">
            <w:pPr>
              <w:jc w:val="both"/>
              <w:rPr>
                <w:color w:val="000000"/>
                <w:sz w:val="22"/>
                <w:szCs w:val="22"/>
                <w:lang w:val="en-GB"/>
              </w:rPr>
            </w:pPr>
          </w:p>
        </w:tc>
      </w:tr>
    </w:tbl>
    <w:p w:rsidR="00447DF1" w:rsidP="00447DF1" w:rsidRDefault="00447DF1" w14:paraId="2771DBC8" w14:textId="77777777">
      <w:pPr>
        <w:ind w:left="450"/>
        <w:jc w:val="both"/>
        <w:rPr>
          <w:i/>
          <w:sz w:val="22"/>
          <w:szCs w:val="22"/>
          <w:lang w:val="en-GB" w:eastAsia="ro-RO"/>
        </w:rPr>
      </w:pPr>
    </w:p>
    <w:p w:rsidR="00447DF1" w:rsidP="00447DF1" w:rsidRDefault="00447DF1" w14:paraId="56094638" w14:textId="77777777">
      <w:pPr>
        <w:pStyle w:val="ListParagraph"/>
        <w:ind w:left="450"/>
        <w:contextualSpacing w:val="0"/>
        <w:jc w:val="both"/>
        <w:rPr>
          <w:sz w:val="22"/>
          <w:szCs w:val="22"/>
          <w:lang w:val="en-GB" w:eastAsia="ro-RO"/>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Pr>
          <w:i/>
          <w:sz w:val="22"/>
          <w:szCs w:val="22"/>
          <w:lang w:val="en-GB" w:eastAsia="ro-RO"/>
        </w:rPr>
        <w:t xml:space="preserve">mean that </w:t>
      </w:r>
      <w:r w:rsidRPr="008713B0">
        <w:rPr>
          <w:i/>
          <w:sz w:val="22"/>
          <w:szCs w:val="22"/>
          <w:lang w:val="en-GB" w:eastAsia="ro-RO"/>
        </w:rPr>
        <w:t>the vote will not be taken into consideration</w:t>
      </w:r>
      <w:r w:rsidRPr="008713B0">
        <w:rPr>
          <w:sz w:val="22"/>
          <w:szCs w:val="22"/>
          <w:lang w:val="en-GB" w:eastAsia="ro-RO"/>
        </w:rPr>
        <w:t>.</w:t>
      </w:r>
    </w:p>
    <w:p w:rsidRPr="003A01B3" w:rsidR="00447DF1" w:rsidP="00447DF1" w:rsidRDefault="00447DF1" w14:paraId="3CD7C5E2" w14:textId="77777777">
      <w:pPr>
        <w:pStyle w:val="ListParagraph"/>
        <w:ind w:left="450"/>
        <w:contextualSpacing w:val="0"/>
        <w:jc w:val="both"/>
        <w:rPr>
          <w:sz w:val="22"/>
          <w:szCs w:val="22"/>
          <w:lang w:val="en-GB" w:eastAsia="ro-RO"/>
        </w:rPr>
      </w:pPr>
    </w:p>
    <w:p w:rsidR="00447DF1" w:rsidP="00447DF1" w:rsidRDefault="00447DF1" w14:paraId="3CCF4C63" w14:textId="77777777">
      <w:pPr>
        <w:pStyle w:val="ListParagraph"/>
        <w:numPr>
          <w:ilvl w:val="0"/>
          <w:numId w:val="2"/>
        </w:numPr>
        <w:ind w:left="450"/>
        <w:contextualSpacing w:val="0"/>
        <w:jc w:val="both"/>
        <w:rPr>
          <w:b/>
          <w:bCs/>
          <w:sz w:val="22"/>
          <w:szCs w:val="22"/>
          <w:lang w:val="en-GB"/>
        </w:rPr>
      </w:pPr>
      <w:r>
        <w:rPr>
          <w:b/>
          <w:bCs/>
          <w:sz w:val="22"/>
          <w:szCs w:val="22"/>
          <w:lang w:val="en-GB"/>
        </w:rPr>
        <w:t>For item 6 on the agenda, respectively:</w:t>
      </w:r>
    </w:p>
    <w:p w:rsidR="00447DF1" w:rsidP="00447DF1" w:rsidRDefault="00447DF1" w14:paraId="77B25145" w14:textId="77777777">
      <w:pPr>
        <w:pStyle w:val="ListParagraph"/>
        <w:ind w:left="450"/>
        <w:contextualSpacing w:val="0"/>
        <w:jc w:val="both"/>
        <w:rPr>
          <w:b/>
          <w:bCs/>
          <w:sz w:val="22"/>
          <w:szCs w:val="22"/>
          <w:lang w:val="en-GB"/>
        </w:rPr>
      </w:pPr>
    </w:p>
    <w:p w:rsidRPr="002C5CB5" w:rsidR="00447DF1" w:rsidP="00447DF1" w:rsidRDefault="00447DF1" w14:paraId="0EE4C612" w14:textId="77777777">
      <w:pPr>
        <w:pStyle w:val="ListParagraph"/>
        <w:ind w:left="450"/>
        <w:contextualSpacing w:val="0"/>
        <w:jc w:val="both"/>
        <w:rPr>
          <w:b/>
          <w:bCs/>
          <w:i/>
          <w:iCs/>
          <w:sz w:val="22"/>
          <w:szCs w:val="22"/>
          <w:lang w:val="en-GB"/>
        </w:rPr>
      </w:pPr>
      <w:r w:rsidRPr="003A01B3">
        <w:rPr>
          <w:i/>
          <w:iCs/>
          <w:sz w:val="22"/>
          <w:szCs w:val="22"/>
          <w:lang w:val="en-GB"/>
        </w:rPr>
        <w:t>“</w:t>
      </w:r>
      <w:r w:rsidRPr="002C5CB5">
        <w:rPr>
          <w:i/>
          <w:iCs/>
          <w:sz w:val="22"/>
          <w:szCs w:val="22"/>
          <w:lang w:val="en-GB"/>
        </w:rPr>
        <w:t xml:space="preserve">Subject to the approval of item 5 of this OGM agenda, the approval of the distribution of the 2024 net audited accounting </w:t>
      </w:r>
      <w:r w:rsidRPr="002C5CB5">
        <w:rPr>
          <w:i/>
          <w:iCs/>
          <w:sz w:val="22"/>
          <w:szCs w:val="22"/>
        </w:rPr>
        <w:t>profit</w:t>
      </w:r>
      <w:r w:rsidRPr="002C5CB5">
        <w:rPr>
          <w:i/>
          <w:iCs/>
          <w:sz w:val="22"/>
          <w:szCs w:val="22"/>
          <w:lang w:val="en-GB"/>
        </w:rPr>
        <w:t xml:space="preserve">, as follows: </w:t>
      </w:r>
    </w:p>
    <w:p w:rsidRPr="002C5CB5" w:rsidR="00447DF1" w:rsidP="00447DF1" w:rsidRDefault="00447DF1" w14:paraId="798F59B5" w14:textId="77777777">
      <w:pPr>
        <w:pStyle w:val="ListParagraph"/>
        <w:tabs>
          <w:tab w:val="left" w:pos="540"/>
        </w:tabs>
        <w:ind w:left="540"/>
        <w:jc w:val="both"/>
        <w:rPr>
          <w:i/>
          <w:iCs/>
          <w:sz w:val="22"/>
          <w:szCs w:val="22"/>
          <w:lang w:val="en-GB"/>
        </w:rPr>
      </w:pPr>
    </w:p>
    <w:p w:rsidRPr="00447DF1" w:rsidR="00447DF1" w:rsidP="00447DF1" w:rsidRDefault="00447DF1" w14:paraId="78A450E5" w14:textId="77777777">
      <w:pPr>
        <w:pStyle w:val="ListParagraph"/>
        <w:numPr>
          <w:ilvl w:val="0"/>
          <w:numId w:val="22"/>
        </w:numPr>
        <w:contextualSpacing w:val="0"/>
        <w:jc w:val="both"/>
        <w:rPr>
          <w:i/>
          <w:iCs/>
          <w:vanish/>
          <w:sz w:val="22"/>
          <w:szCs w:val="22"/>
          <w:lang w:val="en-GB"/>
        </w:rPr>
      </w:pPr>
    </w:p>
    <w:p w:rsidRPr="002C5CB5" w:rsidR="00447DF1" w:rsidP="00447DF1" w:rsidRDefault="00447DF1" w14:paraId="0D1329B5" w14:textId="52072F09">
      <w:pPr>
        <w:pStyle w:val="ListParagraph"/>
        <w:numPr>
          <w:ilvl w:val="1"/>
          <w:numId w:val="22"/>
        </w:numPr>
        <w:ind w:left="1170" w:hanging="630"/>
        <w:contextualSpacing w:val="0"/>
        <w:jc w:val="both"/>
        <w:rPr>
          <w:i/>
          <w:iCs/>
          <w:sz w:val="22"/>
          <w:szCs w:val="22"/>
          <w:lang w:val="en-GB"/>
        </w:rPr>
      </w:pPr>
      <w:r w:rsidRPr="002C5CB5">
        <w:rPr>
          <w:i/>
          <w:iCs/>
          <w:sz w:val="22"/>
          <w:szCs w:val="22"/>
          <w:lang w:val="en-GB"/>
        </w:rPr>
        <w:t xml:space="preserve">The approval to partially </w:t>
      </w:r>
      <w:r w:rsidRPr="002C5CB5">
        <w:rPr>
          <w:i/>
          <w:iCs/>
          <w:sz w:val="22"/>
          <w:szCs w:val="22"/>
        </w:rPr>
        <w:t xml:space="preserve">cover with the amount of RON 85,338,460.39 </w:t>
      </w:r>
      <w:r w:rsidRPr="002C5CB5">
        <w:rPr>
          <w:i/>
          <w:iCs/>
          <w:sz w:val="22"/>
          <w:szCs w:val="22"/>
          <w:lang w:val="en-GB"/>
        </w:rPr>
        <w:t xml:space="preserve">the negative reserves of RON </w:t>
      </w:r>
      <w:r w:rsidRPr="002C5CB5">
        <w:rPr>
          <w:i/>
          <w:iCs/>
          <w:sz w:val="22"/>
          <w:szCs w:val="22"/>
        </w:rPr>
        <w:t xml:space="preserve">774,756,257.81 </w:t>
      </w:r>
      <w:r w:rsidRPr="002C5CB5">
        <w:rPr>
          <w:i/>
          <w:iCs/>
          <w:sz w:val="22"/>
          <w:szCs w:val="22"/>
          <w:lang w:val="en-GB"/>
        </w:rPr>
        <w:t xml:space="preserve">incurred during 2024 on the cancellation of the treasury shares acquired during 2023, in accordance with the supporting materials; </w:t>
      </w:r>
    </w:p>
    <w:p w:rsidRPr="002C5CB5" w:rsidR="00447DF1" w:rsidP="00447DF1" w:rsidRDefault="00447DF1" w14:paraId="3333B409" w14:textId="77777777">
      <w:pPr>
        <w:pStyle w:val="ListParagraph"/>
        <w:tabs>
          <w:tab w:val="left" w:pos="851"/>
          <w:tab w:val="left" w:pos="1276"/>
        </w:tabs>
        <w:ind w:left="1134"/>
        <w:jc w:val="both"/>
        <w:rPr>
          <w:i/>
          <w:iCs/>
          <w:sz w:val="22"/>
          <w:szCs w:val="22"/>
          <w:lang w:val="en-GB"/>
        </w:rPr>
      </w:pPr>
    </w:p>
    <w:p w:rsidRPr="002C5CB5" w:rsidR="00447DF1" w:rsidP="00447DF1" w:rsidRDefault="00447DF1" w14:paraId="618E8859" w14:textId="77777777">
      <w:pPr>
        <w:pStyle w:val="ListParagraph"/>
        <w:numPr>
          <w:ilvl w:val="1"/>
          <w:numId w:val="22"/>
        </w:numPr>
        <w:tabs>
          <w:tab w:val="left" w:pos="851"/>
          <w:tab w:val="left" w:pos="1276"/>
        </w:tabs>
        <w:ind w:left="1134" w:hanging="567"/>
        <w:contextualSpacing w:val="0"/>
        <w:jc w:val="both"/>
        <w:rPr>
          <w:i/>
          <w:iCs/>
          <w:sz w:val="22"/>
          <w:szCs w:val="22"/>
          <w:lang w:val="en-GB"/>
        </w:rPr>
      </w:pPr>
      <w:r w:rsidRPr="002C5CB5">
        <w:rPr>
          <w:i/>
          <w:iCs/>
          <w:sz w:val="22"/>
          <w:szCs w:val="22"/>
          <w:lang w:val="en-GB"/>
        </w:rPr>
        <w:t xml:space="preserve">The approval of the value of the gross dividend of RON </w:t>
      </w:r>
      <w:r w:rsidRPr="002C5CB5">
        <w:rPr>
          <w:i/>
          <w:iCs/>
          <w:sz w:val="22"/>
          <w:szCs w:val="22"/>
        </w:rPr>
        <w:t xml:space="preserve">0.0409 </w:t>
      </w:r>
      <w:r w:rsidRPr="002C5CB5">
        <w:rPr>
          <w:i/>
          <w:iCs/>
          <w:sz w:val="22"/>
          <w:szCs w:val="22"/>
          <w:lang w:val="en-GB"/>
        </w:rPr>
        <w:t>per share from the 2024 financial year audited profit, in accordance with the supporting materials.</w:t>
      </w:r>
    </w:p>
    <w:p w:rsidRPr="002C5CB5" w:rsidR="00447DF1" w:rsidP="00447DF1" w:rsidRDefault="00447DF1" w14:paraId="34119852" w14:textId="77777777">
      <w:pPr>
        <w:pStyle w:val="ListParagraph"/>
        <w:rPr>
          <w:i/>
          <w:iCs/>
          <w:sz w:val="22"/>
          <w:szCs w:val="22"/>
          <w:lang w:val="en-GB"/>
        </w:rPr>
      </w:pPr>
    </w:p>
    <w:p w:rsidRPr="002C5CB5" w:rsidR="00447DF1" w:rsidP="00447DF1" w:rsidRDefault="00447DF1" w14:paraId="220D6166" w14:textId="77777777">
      <w:pPr>
        <w:pStyle w:val="ListParagraph"/>
        <w:ind w:left="1134"/>
        <w:jc w:val="both"/>
        <w:rPr>
          <w:i/>
          <w:iCs/>
          <w:sz w:val="22"/>
          <w:szCs w:val="22"/>
          <w:lang w:val="en-GB"/>
        </w:rPr>
      </w:pPr>
      <w:r w:rsidRPr="002C5CB5">
        <w:rPr>
          <w:i/>
          <w:iCs/>
          <w:sz w:val="22"/>
          <w:szCs w:val="22"/>
          <w:lang w:val="en-GB"/>
        </w:rPr>
        <w:t xml:space="preserve">The approval for starting the payment of the dividends on </w:t>
      </w:r>
      <w:r w:rsidRPr="002C5CB5">
        <w:rPr>
          <w:b/>
          <w:bCs/>
          <w:i/>
          <w:iCs/>
          <w:sz w:val="22"/>
          <w:szCs w:val="22"/>
          <w:lang w:val="en-GB"/>
        </w:rPr>
        <w:t>19 June 2025</w:t>
      </w:r>
      <w:r w:rsidRPr="002C5CB5">
        <w:rPr>
          <w:i/>
          <w:iCs/>
          <w:sz w:val="22"/>
          <w:szCs w:val="22"/>
          <w:lang w:val="en-GB"/>
        </w:rPr>
        <w:t xml:space="preserve"> (the Payment Date of this OGM as defined at item 10 of this OGM) to the persons registered as shareholders of Fondul Proprietatea on </w:t>
      </w:r>
      <w:r w:rsidRPr="002C5CB5">
        <w:rPr>
          <w:b/>
          <w:bCs/>
          <w:i/>
          <w:iCs/>
          <w:sz w:val="22"/>
          <w:szCs w:val="22"/>
          <w:lang w:val="en-GB"/>
        </w:rPr>
        <w:t>28 May 2025</w:t>
      </w:r>
      <w:r w:rsidRPr="002C5CB5">
        <w:rPr>
          <w:i/>
          <w:iCs/>
          <w:sz w:val="22"/>
          <w:szCs w:val="22"/>
          <w:lang w:val="en-GB"/>
        </w:rPr>
        <w:t xml:space="preserve"> (the Registration Date as defined at item 10 of this OGM). Treasury shares do not constitute dividend entitlement.</w:t>
      </w:r>
    </w:p>
    <w:p w:rsidRPr="002C5CB5" w:rsidR="00447DF1" w:rsidP="00447DF1" w:rsidRDefault="00447DF1" w14:paraId="765E5733" w14:textId="77777777">
      <w:pPr>
        <w:pStyle w:val="ListParagraph"/>
        <w:rPr>
          <w:i/>
          <w:iCs/>
          <w:sz w:val="22"/>
          <w:szCs w:val="22"/>
          <w:lang w:val="en-GB"/>
        </w:rPr>
      </w:pPr>
    </w:p>
    <w:p w:rsidRPr="002C5CB5" w:rsidR="00447DF1" w:rsidP="00447DF1" w:rsidRDefault="00447DF1" w14:paraId="1C4434DE" w14:textId="77777777">
      <w:pPr>
        <w:pStyle w:val="ListParagraph"/>
        <w:numPr>
          <w:ilvl w:val="1"/>
          <w:numId w:val="22"/>
        </w:numPr>
        <w:tabs>
          <w:tab w:val="left" w:pos="851"/>
          <w:tab w:val="left" w:pos="1276"/>
        </w:tabs>
        <w:ind w:left="1134" w:hanging="567"/>
        <w:contextualSpacing w:val="0"/>
        <w:jc w:val="both"/>
        <w:rPr>
          <w:i/>
          <w:iCs/>
          <w:sz w:val="22"/>
          <w:szCs w:val="22"/>
          <w:lang w:val="en-GB"/>
        </w:rPr>
      </w:pPr>
      <w:r w:rsidRPr="002C5CB5">
        <w:rPr>
          <w:i/>
          <w:iCs/>
          <w:sz w:val="22"/>
          <w:szCs w:val="22"/>
          <w:lang w:val="en-GB"/>
        </w:rPr>
        <w:t>The approval to allocate from 2024 net audited accounting profit an amount of RON 1,366,923.22 to other reserves to be used for covering the negative reserves estimated to arise in 2025 from the cancellation of treasury shares acquired 2024 buy-back programme, in accordance with the supporting materials; and</w:t>
      </w:r>
    </w:p>
    <w:p w:rsidRPr="002C5CB5" w:rsidR="00447DF1" w:rsidP="00447DF1" w:rsidRDefault="00447DF1" w14:paraId="7FACED81" w14:textId="77777777">
      <w:pPr>
        <w:pStyle w:val="ListParagraph"/>
        <w:tabs>
          <w:tab w:val="left" w:pos="540"/>
        </w:tabs>
        <w:ind w:left="567"/>
        <w:jc w:val="both"/>
        <w:rPr>
          <w:i/>
          <w:iCs/>
          <w:sz w:val="22"/>
          <w:szCs w:val="22"/>
          <w:lang w:val="en-GB"/>
        </w:rPr>
      </w:pPr>
    </w:p>
    <w:p w:rsidRPr="002C5CB5" w:rsidR="00447DF1" w:rsidP="00447DF1" w:rsidRDefault="00447DF1" w14:paraId="28206B4C" w14:textId="77777777">
      <w:pPr>
        <w:pStyle w:val="ListParagraph"/>
        <w:numPr>
          <w:ilvl w:val="1"/>
          <w:numId w:val="22"/>
        </w:numPr>
        <w:tabs>
          <w:tab w:val="left" w:pos="851"/>
          <w:tab w:val="left" w:pos="1276"/>
        </w:tabs>
        <w:ind w:left="1134" w:hanging="567"/>
        <w:contextualSpacing w:val="0"/>
        <w:jc w:val="both"/>
        <w:rPr>
          <w:i/>
          <w:iCs/>
          <w:sz w:val="22"/>
          <w:szCs w:val="22"/>
          <w:lang w:val="en-GB"/>
        </w:rPr>
      </w:pPr>
      <w:r w:rsidRPr="002C5CB5">
        <w:rPr>
          <w:i/>
          <w:iCs/>
          <w:sz w:val="22"/>
          <w:szCs w:val="22"/>
          <w:lang w:val="en-GB"/>
        </w:rPr>
        <w:t>The remaining 2024 accounting profit in amount of RON 33,915,095.21 will remain available to shareholders under Retained earnings for further use, in accordance with the supporting materials.”</w:t>
      </w:r>
    </w:p>
    <w:p w:rsidR="00447DF1" w:rsidP="00447DF1" w:rsidRDefault="00447DF1" w14:paraId="7EC0F8C7" w14:textId="77777777">
      <w:pPr>
        <w:pStyle w:val="ListParagraph"/>
        <w:ind w:left="450"/>
        <w:contextualSpacing w:val="0"/>
        <w:jc w:val="both"/>
        <w:rPr>
          <w:b/>
          <w:bCs/>
          <w:sz w:val="22"/>
          <w:szCs w:val="22"/>
          <w:lang w:val="en-GB"/>
        </w:rPr>
      </w:pPr>
    </w:p>
    <w:tbl>
      <w:tblPr>
        <w:tblW w:w="8550" w:type="dxa"/>
        <w:tblInd w:w="535" w:type="dxa"/>
        <w:tblLayout w:type="fixed"/>
        <w:tblLook w:val="04A0" w:firstRow="1" w:lastRow="0" w:firstColumn="1" w:lastColumn="0" w:noHBand="0" w:noVBand="1"/>
      </w:tblPr>
      <w:tblGrid>
        <w:gridCol w:w="2559"/>
        <w:gridCol w:w="2815"/>
        <w:gridCol w:w="3176"/>
      </w:tblGrid>
      <w:tr w:rsidRPr="006B457D" w:rsidR="00447DF1" w:rsidTr="00765244" w14:paraId="67CB2DB9" w14:textId="77777777">
        <w:trPr>
          <w:trHeight w:val="300"/>
        </w:trPr>
        <w:tc>
          <w:tcPr>
            <w:tcW w:w="255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C10B6" w:rsidR="00447DF1" w:rsidP="00765244" w:rsidRDefault="00447DF1" w14:paraId="4C14F702" w14:textId="77777777">
            <w:pPr>
              <w:jc w:val="both"/>
              <w:rPr>
                <w:b/>
                <w:bCs/>
                <w:color w:val="000000"/>
                <w:sz w:val="22"/>
                <w:szCs w:val="22"/>
                <w:lang w:val="en-GB"/>
              </w:rPr>
            </w:pPr>
            <w:r w:rsidRPr="008C10B6">
              <w:rPr>
                <w:b/>
                <w:bCs/>
                <w:color w:val="000000"/>
                <w:sz w:val="22"/>
                <w:szCs w:val="22"/>
                <w:lang w:val="en-GB"/>
              </w:rPr>
              <w:t> FOR</w:t>
            </w:r>
          </w:p>
        </w:tc>
        <w:tc>
          <w:tcPr>
            <w:tcW w:w="2815" w:type="dxa"/>
            <w:tcBorders>
              <w:top w:val="single" w:color="auto" w:sz="4" w:space="0"/>
              <w:left w:val="nil"/>
              <w:bottom w:val="single" w:color="auto" w:sz="4" w:space="0"/>
              <w:right w:val="single" w:color="auto" w:sz="4" w:space="0"/>
            </w:tcBorders>
            <w:shd w:val="clear" w:color="auto" w:fill="auto"/>
            <w:noWrap/>
            <w:vAlign w:val="bottom"/>
            <w:hideMark/>
          </w:tcPr>
          <w:p w:rsidRPr="008C10B6" w:rsidR="00447DF1" w:rsidP="00765244" w:rsidRDefault="00447DF1" w14:paraId="5B54E65C" w14:textId="77777777">
            <w:pPr>
              <w:jc w:val="both"/>
              <w:rPr>
                <w:b/>
                <w:bCs/>
                <w:color w:val="000000"/>
                <w:sz w:val="22"/>
                <w:szCs w:val="22"/>
                <w:lang w:val="en-GB"/>
              </w:rPr>
            </w:pPr>
            <w:r w:rsidRPr="008C10B6">
              <w:rPr>
                <w:b/>
                <w:bCs/>
                <w:color w:val="000000"/>
                <w:sz w:val="22"/>
                <w:szCs w:val="22"/>
                <w:lang w:val="en-GB"/>
              </w:rPr>
              <w:t>AGAINST</w:t>
            </w:r>
          </w:p>
        </w:tc>
        <w:tc>
          <w:tcPr>
            <w:tcW w:w="3176" w:type="dxa"/>
            <w:tcBorders>
              <w:top w:val="single" w:color="auto" w:sz="4" w:space="0"/>
              <w:left w:val="nil"/>
              <w:bottom w:val="single" w:color="auto" w:sz="4" w:space="0"/>
              <w:right w:val="single" w:color="auto" w:sz="4" w:space="0"/>
            </w:tcBorders>
            <w:shd w:val="clear" w:color="auto" w:fill="auto"/>
            <w:noWrap/>
            <w:vAlign w:val="bottom"/>
            <w:hideMark/>
          </w:tcPr>
          <w:p w:rsidRPr="008C10B6" w:rsidR="00447DF1" w:rsidP="00765244" w:rsidRDefault="00447DF1" w14:paraId="63164112" w14:textId="77777777">
            <w:pPr>
              <w:jc w:val="both"/>
              <w:rPr>
                <w:b/>
                <w:bCs/>
                <w:color w:val="000000"/>
                <w:sz w:val="22"/>
                <w:szCs w:val="22"/>
                <w:lang w:val="en-GB"/>
              </w:rPr>
            </w:pPr>
            <w:r w:rsidRPr="008C10B6">
              <w:rPr>
                <w:b/>
                <w:bCs/>
                <w:color w:val="000000"/>
                <w:sz w:val="22"/>
                <w:szCs w:val="22"/>
                <w:lang w:val="en-GB"/>
              </w:rPr>
              <w:t> ABSTENTION</w:t>
            </w:r>
          </w:p>
        </w:tc>
      </w:tr>
      <w:tr w:rsidRPr="006B457D" w:rsidR="00447DF1" w:rsidTr="00765244" w14:paraId="0FEAC92A" w14:textId="77777777">
        <w:trPr>
          <w:trHeight w:val="300"/>
        </w:trPr>
        <w:tc>
          <w:tcPr>
            <w:tcW w:w="2559" w:type="dxa"/>
            <w:tcBorders>
              <w:top w:val="nil"/>
              <w:left w:val="single" w:color="auto" w:sz="4" w:space="0"/>
              <w:bottom w:val="single" w:color="auto" w:sz="4" w:space="0"/>
              <w:right w:val="single" w:color="auto" w:sz="4" w:space="0"/>
            </w:tcBorders>
            <w:shd w:val="clear" w:color="auto" w:fill="auto"/>
            <w:noWrap/>
            <w:vAlign w:val="bottom"/>
            <w:hideMark/>
          </w:tcPr>
          <w:p w:rsidRPr="008713B0" w:rsidR="00447DF1" w:rsidP="00765244" w:rsidRDefault="00447DF1" w14:paraId="78A5F868" w14:textId="77777777">
            <w:pPr>
              <w:jc w:val="both"/>
              <w:rPr>
                <w:color w:val="000000"/>
                <w:sz w:val="22"/>
                <w:szCs w:val="22"/>
                <w:lang w:val="en-GB"/>
              </w:rPr>
            </w:pPr>
          </w:p>
        </w:tc>
        <w:tc>
          <w:tcPr>
            <w:tcW w:w="2815" w:type="dxa"/>
            <w:tcBorders>
              <w:top w:val="nil"/>
              <w:left w:val="nil"/>
              <w:bottom w:val="single" w:color="auto" w:sz="4" w:space="0"/>
              <w:right w:val="single" w:color="auto" w:sz="4" w:space="0"/>
            </w:tcBorders>
            <w:shd w:val="clear" w:color="auto" w:fill="auto"/>
            <w:noWrap/>
            <w:vAlign w:val="bottom"/>
            <w:hideMark/>
          </w:tcPr>
          <w:p w:rsidRPr="008713B0" w:rsidR="00447DF1" w:rsidP="00765244" w:rsidRDefault="00447DF1" w14:paraId="1237A4B2" w14:textId="77777777">
            <w:pPr>
              <w:jc w:val="both"/>
              <w:rPr>
                <w:color w:val="000000"/>
                <w:sz w:val="22"/>
                <w:szCs w:val="22"/>
                <w:lang w:val="en-GB"/>
              </w:rPr>
            </w:pPr>
          </w:p>
        </w:tc>
        <w:tc>
          <w:tcPr>
            <w:tcW w:w="3176" w:type="dxa"/>
            <w:tcBorders>
              <w:top w:val="nil"/>
              <w:left w:val="nil"/>
              <w:bottom w:val="single" w:color="auto" w:sz="4" w:space="0"/>
              <w:right w:val="single" w:color="auto" w:sz="4" w:space="0"/>
            </w:tcBorders>
            <w:shd w:val="clear" w:color="auto" w:fill="auto"/>
            <w:noWrap/>
            <w:vAlign w:val="bottom"/>
            <w:hideMark/>
          </w:tcPr>
          <w:p w:rsidRPr="008713B0" w:rsidR="00447DF1" w:rsidP="00765244" w:rsidRDefault="00447DF1" w14:paraId="7BB5FE54" w14:textId="77777777">
            <w:pPr>
              <w:jc w:val="both"/>
              <w:rPr>
                <w:color w:val="000000"/>
                <w:sz w:val="22"/>
                <w:szCs w:val="22"/>
                <w:lang w:val="en-GB"/>
              </w:rPr>
            </w:pPr>
          </w:p>
        </w:tc>
      </w:tr>
    </w:tbl>
    <w:p w:rsidR="00447DF1" w:rsidP="00447DF1" w:rsidRDefault="00447DF1" w14:paraId="3D34126C" w14:textId="77777777">
      <w:pPr>
        <w:ind w:left="450"/>
        <w:jc w:val="both"/>
        <w:rPr>
          <w:i/>
          <w:sz w:val="22"/>
          <w:szCs w:val="22"/>
          <w:lang w:val="en-GB" w:eastAsia="ro-RO"/>
        </w:rPr>
      </w:pPr>
    </w:p>
    <w:p w:rsidRPr="002C5CB5" w:rsidR="00447DF1" w:rsidP="00447DF1" w:rsidRDefault="00447DF1" w14:paraId="11B37BA0" w14:textId="77777777">
      <w:pPr>
        <w:pStyle w:val="ListParagraph"/>
        <w:ind w:left="450"/>
        <w:contextualSpacing w:val="0"/>
        <w:jc w:val="both"/>
        <w:rPr>
          <w:sz w:val="22"/>
          <w:szCs w:val="22"/>
          <w:lang w:val="en-GB" w:eastAsia="ro-RO"/>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Pr>
          <w:i/>
          <w:sz w:val="22"/>
          <w:szCs w:val="22"/>
          <w:lang w:val="en-GB" w:eastAsia="ro-RO"/>
        </w:rPr>
        <w:t xml:space="preserve">mean that </w:t>
      </w:r>
      <w:r w:rsidRPr="008713B0">
        <w:rPr>
          <w:i/>
          <w:sz w:val="22"/>
          <w:szCs w:val="22"/>
          <w:lang w:val="en-GB" w:eastAsia="ro-RO"/>
        </w:rPr>
        <w:t>the vote will not be taken into consideration</w:t>
      </w:r>
      <w:r w:rsidRPr="008713B0">
        <w:rPr>
          <w:sz w:val="22"/>
          <w:szCs w:val="22"/>
          <w:lang w:val="en-GB" w:eastAsia="ro-RO"/>
        </w:rPr>
        <w:t>.</w:t>
      </w:r>
    </w:p>
    <w:p w:rsidR="00447DF1" w:rsidP="00447DF1" w:rsidRDefault="00447DF1" w14:paraId="2D9A5A0E" w14:textId="77777777">
      <w:pPr>
        <w:pStyle w:val="ListParagraph"/>
        <w:ind w:left="450"/>
        <w:contextualSpacing w:val="0"/>
        <w:jc w:val="both"/>
        <w:rPr>
          <w:sz w:val="22"/>
          <w:szCs w:val="22"/>
          <w:lang w:val="en-GB" w:eastAsia="ro-RO"/>
        </w:rPr>
      </w:pPr>
    </w:p>
    <w:p w:rsidR="00447DF1" w:rsidP="00447DF1" w:rsidRDefault="00447DF1" w14:paraId="157D9604" w14:textId="77777777">
      <w:pPr>
        <w:pStyle w:val="ListParagraph"/>
        <w:numPr>
          <w:ilvl w:val="0"/>
          <w:numId w:val="2"/>
        </w:numPr>
        <w:ind w:left="450"/>
        <w:contextualSpacing w:val="0"/>
        <w:jc w:val="both"/>
        <w:rPr>
          <w:b/>
          <w:bCs/>
          <w:sz w:val="22"/>
          <w:szCs w:val="22"/>
          <w:lang w:val="en-GB"/>
        </w:rPr>
      </w:pPr>
      <w:r>
        <w:rPr>
          <w:b/>
          <w:bCs/>
          <w:sz w:val="22"/>
          <w:szCs w:val="22"/>
          <w:lang w:val="en-GB"/>
        </w:rPr>
        <w:t>For item 7 on the agenda, respectively:</w:t>
      </w:r>
    </w:p>
    <w:p w:rsidR="00447DF1" w:rsidP="00447DF1" w:rsidRDefault="00447DF1" w14:paraId="0DF0E382" w14:textId="77777777">
      <w:pPr>
        <w:pStyle w:val="ListParagraph"/>
        <w:ind w:left="450"/>
        <w:contextualSpacing w:val="0"/>
        <w:jc w:val="both"/>
        <w:rPr>
          <w:b/>
          <w:bCs/>
          <w:sz w:val="22"/>
          <w:szCs w:val="22"/>
          <w:lang w:val="en-GB"/>
        </w:rPr>
      </w:pPr>
    </w:p>
    <w:p w:rsidR="00447DF1" w:rsidP="00447DF1" w:rsidRDefault="00447DF1" w14:paraId="6D54B3B6" w14:textId="77777777">
      <w:pPr>
        <w:pStyle w:val="ListParagraph"/>
        <w:ind w:left="450"/>
        <w:contextualSpacing w:val="0"/>
        <w:jc w:val="both"/>
        <w:rPr>
          <w:i/>
          <w:iCs/>
          <w:sz w:val="22"/>
          <w:szCs w:val="22"/>
          <w:lang w:val="ro-RO"/>
        </w:rPr>
      </w:pPr>
      <w:r w:rsidRPr="003A01B3">
        <w:rPr>
          <w:i/>
          <w:iCs/>
          <w:sz w:val="22"/>
          <w:szCs w:val="22"/>
          <w:lang w:val="en-GB"/>
        </w:rPr>
        <w:t>“</w:t>
      </w:r>
      <w:r w:rsidRPr="00662182">
        <w:rPr>
          <w:i/>
          <w:iCs/>
          <w:sz w:val="22"/>
          <w:szCs w:val="22"/>
          <w:lang w:val="ro-RO"/>
        </w:rPr>
        <w:t>The approval to set-up additional Other reserves (in addition to item 6.3 of this OGM agenda) in amount of RON 36,986,843.20, to be used in the future periods to cover the negative reserves of RON 38,353,766.42 to be incurred during 2025 financial year upon the completion of the cancelation of the treasury shares acquired during the 2024 buy-back programme and subject to the approval by shareholders of item 2 of the EGM Agenda and item 6 of this OGM Agenda, in accordance with the supporting materials.”</w:t>
      </w:r>
    </w:p>
    <w:p w:rsidR="00447DF1" w:rsidP="00447DF1" w:rsidRDefault="00447DF1" w14:paraId="657F43E0" w14:textId="77777777">
      <w:pPr>
        <w:pStyle w:val="ListParagraph"/>
        <w:ind w:left="450"/>
        <w:contextualSpacing w:val="0"/>
        <w:jc w:val="both"/>
        <w:rPr>
          <w:i/>
          <w:iCs/>
          <w:sz w:val="22"/>
          <w:szCs w:val="22"/>
          <w:lang w:val="ro-RO"/>
        </w:rPr>
      </w:pPr>
    </w:p>
    <w:tbl>
      <w:tblPr>
        <w:tblW w:w="8550" w:type="dxa"/>
        <w:tblInd w:w="535" w:type="dxa"/>
        <w:tblLayout w:type="fixed"/>
        <w:tblLook w:val="04A0" w:firstRow="1" w:lastRow="0" w:firstColumn="1" w:lastColumn="0" w:noHBand="0" w:noVBand="1"/>
      </w:tblPr>
      <w:tblGrid>
        <w:gridCol w:w="2559"/>
        <w:gridCol w:w="2815"/>
        <w:gridCol w:w="3176"/>
      </w:tblGrid>
      <w:tr w:rsidRPr="006B457D" w:rsidR="00447DF1" w:rsidTr="00765244" w14:paraId="78C0BC59" w14:textId="77777777">
        <w:trPr>
          <w:trHeight w:val="300"/>
        </w:trPr>
        <w:tc>
          <w:tcPr>
            <w:tcW w:w="255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C10B6" w:rsidR="00447DF1" w:rsidP="00765244" w:rsidRDefault="00447DF1" w14:paraId="5E5BE4D4" w14:textId="77777777">
            <w:pPr>
              <w:jc w:val="both"/>
              <w:rPr>
                <w:b/>
                <w:bCs/>
                <w:color w:val="000000"/>
                <w:sz w:val="22"/>
                <w:szCs w:val="22"/>
                <w:lang w:val="en-GB"/>
              </w:rPr>
            </w:pPr>
            <w:r w:rsidRPr="008C10B6">
              <w:rPr>
                <w:b/>
                <w:bCs/>
                <w:color w:val="000000"/>
                <w:sz w:val="22"/>
                <w:szCs w:val="22"/>
                <w:lang w:val="en-GB"/>
              </w:rPr>
              <w:t> FOR</w:t>
            </w:r>
          </w:p>
        </w:tc>
        <w:tc>
          <w:tcPr>
            <w:tcW w:w="2815" w:type="dxa"/>
            <w:tcBorders>
              <w:top w:val="single" w:color="auto" w:sz="4" w:space="0"/>
              <w:left w:val="nil"/>
              <w:bottom w:val="single" w:color="auto" w:sz="4" w:space="0"/>
              <w:right w:val="single" w:color="auto" w:sz="4" w:space="0"/>
            </w:tcBorders>
            <w:shd w:val="clear" w:color="auto" w:fill="auto"/>
            <w:noWrap/>
            <w:vAlign w:val="bottom"/>
            <w:hideMark/>
          </w:tcPr>
          <w:p w:rsidRPr="008C10B6" w:rsidR="00447DF1" w:rsidP="00765244" w:rsidRDefault="00447DF1" w14:paraId="06668DE8" w14:textId="77777777">
            <w:pPr>
              <w:jc w:val="both"/>
              <w:rPr>
                <w:b/>
                <w:bCs/>
                <w:color w:val="000000"/>
                <w:sz w:val="22"/>
                <w:szCs w:val="22"/>
                <w:lang w:val="en-GB"/>
              </w:rPr>
            </w:pPr>
            <w:r w:rsidRPr="008C10B6">
              <w:rPr>
                <w:b/>
                <w:bCs/>
                <w:color w:val="000000"/>
                <w:sz w:val="22"/>
                <w:szCs w:val="22"/>
                <w:lang w:val="en-GB"/>
              </w:rPr>
              <w:t>AGAINST</w:t>
            </w:r>
          </w:p>
        </w:tc>
        <w:tc>
          <w:tcPr>
            <w:tcW w:w="3176" w:type="dxa"/>
            <w:tcBorders>
              <w:top w:val="single" w:color="auto" w:sz="4" w:space="0"/>
              <w:left w:val="nil"/>
              <w:bottom w:val="single" w:color="auto" w:sz="4" w:space="0"/>
              <w:right w:val="single" w:color="auto" w:sz="4" w:space="0"/>
            </w:tcBorders>
            <w:shd w:val="clear" w:color="auto" w:fill="auto"/>
            <w:noWrap/>
            <w:vAlign w:val="bottom"/>
            <w:hideMark/>
          </w:tcPr>
          <w:p w:rsidRPr="008C10B6" w:rsidR="00447DF1" w:rsidP="00765244" w:rsidRDefault="00447DF1" w14:paraId="275EBE8C" w14:textId="77777777">
            <w:pPr>
              <w:jc w:val="both"/>
              <w:rPr>
                <w:b/>
                <w:bCs/>
                <w:color w:val="000000"/>
                <w:sz w:val="22"/>
                <w:szCs w:val="22"/>
                <w:lang w:val="en-GB"/>
              </w:rPr>
            </w:pPr>
            <w:r w:rsidRPr="008C10B6">
              <w:rPr>
                <w:b/>
                <w:bCs/>
                <w:color w:val="000000"/>
                <w:sz w:val="22"/>
                <w:szCs w:val="22"/>
                <w:lang w:val="en-GB"/>
              </w:rPr>
              <w:t> ABSTENTION</w:t>
            </w:r>
          </w:p>
        </w:tc>
      </w:tr>
      <w:tr w:rsidRPr="006B457D" w:rsidR="00447DF1" w:rsidTr="00765244" w14:paraId="37769148" w14:textId="77777777">
        <w:trPr>
          <w:trHeight w:val="300"/>
        </w:trPr>
        <w:tc>
          <w:tcPr>
            <w:tcW w:w="2559" w:type="dxa"/>
            <w:tcBorders>
              <w:top w:val="nil"/>
              <w:left w:val="single" w:color="auto" w:sz="4" w:space="0"/>
              <w:bottom w:val="single" w:color="auto" w:sz="4" w:space="0"/>
              <w:right w:val="single" w:color="auto" w:sz="4" w:space="0"/>
            </w:tcBorders>
            <w:shd w:val="clear" w:color="auto" w:fill="auto"/>
            <w:noWrap/>
            <w:vAlign w:val="bottom"/>
            <w:hideMark/>
          </w:tcPr>
          <w:p w:rsidRPr="008713B0" w:rsidR="00447DF1" w:rsidP="00765244" w:rsidRDefault="00447DF1" w14:paraId="1506AB14" w14:textId="77777777">
            <w:pPr>
              <w:jc w:val="both"/>
              <w:rPr>
                <w:color w:val="000000"/>
                <w:sz w:val="22"/>
                <w:szCs w:val="22"/>
                <w:lang w:val="en-GB"/>
              </w:rPr>
            </w:pPr>
          </w:p>
        </w:tc>
        <w:tc>
          <w:tcPr>
            <w:tcW w:w="2815" w:type="dxa"/>
            <w:tcBorders>
              <w:top w:val="nil"/>
              <w:left w:val="nil"/>
              <w:bottom w:val="single" w:color="auto" w:sz="4" w:space="0"/>
              <w:right w:val="single" w:color="auto" w:sz="4" w:space="0"/>
            </w:tcBorders>
            <w:shd w:val="clear" w:color="auto" w:fill="auto"/>
            <w:noWrap/>
            <w:vAlign w:val="bottom"/>
            <w:hideMark/>
          </w:tcPr>
          <w:p w:rsidRPr="008713B0" w:rsidR="00447DF1" w:rsidP="00765244" w:rsidRDefault="00447DF1" w14:paraId="3BDDE4C6" w14:textId="77777777">
            <w:pPr>
              <w:jc w:val="both"/>
              <w:rPr>
                <w:color w:val="000000"/>
                <w:sz w:val="22"/>
                <w:szCs w:val="22"/>
                <w:lang w:val="en-GB"/>
              </w:rPr>
            </w:pPr>
          </w:p>
        </w:tc>
        <w:tc>
          <w:tcPr>
            <w:tcW w:w="3176" w:type="dxa"/>
            <w:tcBorders>
              <w:top w:val="nil"/>
              <w:left w:val="nil"/>
              <w:bottom w:val="single" w:color="auto" w:sz="4" w:space="0"/>
              <w:right w:val="single" w:color="auto" w:sz="4" w:space="0"/>
            </w:tcBorders>
            <w:shd w:val="clear" w:color="auto" w:fill="auto"/>
            <w:noWrap/>
            <w:vAlign w:val="bottom"/>
            <w:hideMark/>
          </w:tcPr>
          <w:p w:rsidRPr="008713B0" w:rsidR="00447DF1" w:rsidP="00765244" w:rsidRDefault="00447DF1" w14:paraId="4A9E56D9" w14:textId="77777777">
            <w:pPr>
              <w:jc w:val="both"/>
              <w:rPr>
                <w:color w:val="000000"/>
                <w:sz w:val="22"/>
                <w:szCs w:val="22"/>
                <w:lang w:val="en-GB"/>
              </w:rPr>
            </w:pPr>
          </w:p>
        </w:tc>
      </w:tr>
    </w:tbl>
    <w:p w:rsidR="00447DF1" w:rsidP="00447DF1" w:rsidRDefault="00447DF1" w14:paraId="5AB057D0" w14:textId="77777777">
      <w:pPr>
        <w:ind w:left="450"/>
        <w:jc w:val="both"/>
        <w:rPr>
          <w:i/>
          <w:sz w:val="22"/>
          <w:szCs w:val="22"/>
          <w:lang w:val="en-GB" w:eastAsia="ro-RO"/>
        </w:rPr>
      </w:pPr>
    </w:p>
    <w:p w:rsidR="00447DF1" w:rsidP="00447DF1" w:rsidRDefault="00447DF1" w14:paraId="3A25AC8A" w14:textId="77777777">
      <w:pPr>
        <w:pStyle w:val="ListParagraph"/>
        <w:ind w:left="450"/>
        <w:contextualSpacing w:val="0"/>
        <w:jc w:val="both"/>
        <w:rPr>
          <w:sz w:val="22"/>
          <w:szCs w:val="22"/>
          <w:lang w:val="en-GB" w:eastAsia="ro-RO"/>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Pr>
          <w:i/>
          <w:sz w:val="22"/>
          <w:szCs w:val="22"/>
          <w:lang w:val="en-GB" w:eastAsia="ro-RO"/>
        </w:rPr>
        <w:t xml:space="preserve">mean that </w:t>
      </w:r>
      <w:r w:rsidRPr="008713B0">
        <w:rPr>
          <w:i/>
          <w:sz w:val="22"/>
          <w:szCs w:val="22"/>
          <w:lang w:val="en-GB" w:eastAsia="ro-RO"/>
        </w:rPr>
        <w:t>the vote will not be taken into consideration</w:t>
      </w:r>
      <w:r w:rsidRPr="008713B0">
        <w:rPr>
          <w:sz w:val="22"/>
          <w:szCs w:val="22"/>
          <w:lang w:val="en-GB" w:eastAsia="ro-RO"/>
        </w:rPr>
        <w:t>.</w:t>
      </w:r>
    </w:p>
    <w:p w:rsidRPr="00662182" w:rsidR="00447DF1" w:rsidP="00447DF1" w:rsidRDefault="00447DF1" w14:paraId="52590C23" w14:textId="77777777">
      <w:pPr>
        <w:pStyle w:val="ListParagraph"/>
        <w:ind w:left="450"/>
        <w:contextualSpacing w:val="0"/>
        <w:jc w:val="both"/>
        <w:rPr>
          <w:b/>
          <w:bCs/>
          <w:sz w:val="22"/>
          <w:szCs w:val="22"/>
          <w:lang w:val="en-GB" w:eastAsia="ro-RO"/>
        </w:rPr>
      </w:pPr>
    </w:p>
    <w:p w:rsidR="00447DF1" w:rsidP="00447DF1" w:rsidRDefault="00447DF1" w14:paraId="3D338B08" w14:textId="77777777">
      <w:pPr>
        <w:pStyle w:val="ListParagraph"/>
        <w:numPr>
          <w:ilvl w:val="0"/>
          <w:numId w:val="2"/>
        </w:numPr>
        <w:ind w:left="450"/>
        <w:contextualSpacing w:val="0"/>
        <w:jc w:val="both"/>
        <w:rPr>
          <w:b/>
          <w:bCs/>
          <w:sz w:val="22"/>
          <w:szCs w:val="22"/>
          <w:lang w:val="en-GB" w:eastAsia="ro-RO"/>
        </w:rPr>
      </w:pPr>
      <w:r w:rsidRPr="00662182">
        <w:rPr>
          <w:b/>
          <w:bCs/>
          <w:sz w:val="22"/>
          <w:szCs w:val="22"/>
          <w:lang w:val="en-GB" w:eastAsia="ro-RO"/>
        </w:rPr>
        <w:t>For item 8 on the agenda, respectively:</w:t>
      </w:r>
    </w:p>
    <w:p w:rsidR="00447DF1" w:rsidP="00447DF1" w:rsidRDefault="00447DF1" w14:paraId="7D699675" w14:textId="77777777">
      <w:pPr>
        <w:pStyle w:val="ListParagraph"/>
        <w:ind w:left="450"/>
        <w:contextualSpacing w:val="0"/>
        <w:jc w:val="both"/>
        <w:rPr>
          <w:b/>
          <w:bCs/>
          <w:sz w:val="22"/>
          <w:szCs w:val="22"/>
          <w:lang w:val="en-GB" w:eastAsia="ro-RO"/>
        </w:rPr>
      </w:pPr>
    </w:p>
    <w:p w:rsidR="00447DF1" w:rsidP="00447DF1" w:rsidRDefault="00447DF1" w14:paraId="56BDFD90" w14:textId="77777777">
      <w:pPr>
        <w:pStyle w:val="ListParagraph"/>
        <w:ind w:left="450"/>
        <w:contextualSpacing w:val="0"/>
        <w:jc w:val="both"/>
        <w:rPr>
          <w:i/>
          <w:iCs/>
          <w:sz w:val="22"/>
          <w:szCs w:val="22"/>
          <w:lang w:val="en-GB" w:eastAsia="ro-RO"/>
        </w:rPr>
      </w:pPr>
      <w:r w:rsidRPr="003A01B3">
        <w:rPr>
          <w:i/>
          <w:iCs/>
          <w:sz w:val="22"/>
          <w:szCs w:val="22"/>
          <w:lang w:val="en-GB"/>
        </w:rPr>
        <w:t>“</w:t>
      </w:r>
      <w:r w:rsidRPr="00CF2BF5">
        <w:rPr>
          <w:i/>
          <w:iCs/>
          <w:sz w:val="22"/>
          <w:szCs w:val="22"/>
          <w:lang w:val="en-GB" w:eastAsia="ro-RO"/>
        </w:rPr>
        <w:t>The approval of the additional fees to be paid to Ernst &amp; Young Assurance Services, the Fund’s financial auditor, for the audit of the financial statements of FP for the FY ended 31 December 2024 amounting to EUR 21,000 (before VAT).”</w:t>
      </w:r>
    </w:p>
    <w:p w:rsidRPr="00CF2BF5" w:rsidR="00447DF1" w:rsidP="00447DF1" w:rsidRDefault="00447DF1" w14:paraId="51B56F47" w14:textId="77777777">
      <w:pPr>
        <w:jc w:val="both"/>
        <w:rPr>
          <w:i/>
          <w:iCs/>
          <w:sz w:val="22"/>
          <w:szCs w:val="22"/>
          <w:lang w:val="en-GB" w:eastAsia="ro-RO"/>
        </w:rPr>
      </w:pPr>
    </w:p>
    <w:tbl>
      <w:tblPr>
        <w:tblW w:w="8550" w:type="dxa"/>
        <w:tblInd w:w="535" w:type="dxa"/>
        <w:tblLayout w:type="fixed"/>
        <w:tblLook w:val="04A0" w:firstRow="1" w:lastRow="0" w:firstColumn="1" w:lastColumn="0" w:noHBand="0" w:noVBand="1"/>
      </w:tblPr>
      <w:tblGrid>
        <w:gridCol w:w="2559"/>
        <w:gridCol w:w="2815"/>
        <w:gridCol w:w="3176"/>
      </w:tblGrid>
      <w:tr w:rsidRPr="006B457D" w:rsidR="00447DF1" w:rsidTr="00765244" w14:paraId="42200B5B" w14:textId="77777777">
        <w:trPr>
          <w:trHeight w:val="300"/>
        </w:trPr>
        <w:tc>
          <w:tcPr>
            <w:tcW w:w="255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C10B6" w:rsidR="00447DF1" w:rsidP="00765244" w:rsidRDefault="00447DF1" w14:paraId="387ADB33" w14:textId="77777777">
            <w:pPr>
              <w:jc w:val="both"/>
              <w:rPr>
                <w:b/>
                <w:bCs/>
                <w:color w:val="000000"/>
                <w:sz w:val="22"/>
                <w:szCs w:val="22"/>
                <w:lang w:val="en-GB"/>
              </w:rPr>
            </w:pPr>
            <w:r w:rsidRPr="008C10B6">
              <w:rPr>
                <w:b/>
                <w:bCs/>
                <w:color w:val="000000"/>
                <w:sz w:val="22"/>
                <w:szCs w:val="22"/>
                <w:lang w:val="en-GB"/>
              </w:rPr>
              <w:t> FOR</w:t>
            </w:r>
          </w:p>
        </w:tc>
        <w:tc>
          <w:tcPr>
            <w:tcW w:w="2815" w:type="dxa"/>
            <w:tcBorders>
              <w:top w:val="single" w:color="auto" w:sz="4" w:space="0"/>
              <w:left w:val="nil"/>
              <w:bottom w:val="single" w:color="auto" w:sz="4" w:space="0"/>
              <w:right w:val="single" w:color="auto" w:sz="4" w:space="0"/>
            </w:tcBorders>
            <w:shd w:val="clear" w:color="auto" w:fill="auto"/>
            <w:noWrap/>
            <w:vAlign w:val="bottom"/>
            <w:hideMark/>
          </w:tcPr>
          <w:p w:rsidRPr="008C10B6" w:rsidR="00447DF1" w:rsidP="00765244" w:rsidRDefault="00447DF1" w14:paraId="5C37F649" w14:textId="77777777">
            <w:pPr>
              <w:jc w:val="both"/>
              <w:rPr>
                <w:b/>
                <w:bCs/>
                <w:color w:val="000000"/>
                <w:sz w:val="22"/>
                <w:szCs w:val="22"/>
                <w:lang w:val="en-GB"/>
              </w:rPr>
            </w:pPr>
            <w:r w:rsidRPr="008C10B6">
              <w:rPr>
                <w:b/>
                <w:bCs/>
                <w:color w:val="000000"/>
                <w:sz w:val="22"/>
                <w:szCs w:val="22"/>
                <w:lang w:val="en-GB"/>
              </w:rPr>
              <w:t>AGAINST</w:t>
            </w:r>
          </w:p>
        </w:tc>
        <w:tc>
          <w:tcPr>
            <w:tcW w:w="3176" w:type="dxa"/>
            <w:tcBorders>
              <w:top w:val="single" w:color="auto" w:sz="4" w:space="0"/>
              <w:left w:val="nil"/>
              <w:bottom w:val="single" w:color="auto" w:sz="4" w:space="0"/>
              <w:right w:val="single" w:color="auto" w:sz="4" w:space="0"/>
            </w:tcBorders>
            <w:shd w:val="clear" w:color="auto" w:fill="auto"/>
            <w:noWrap/>
            <w:vAlign w:val="bottom"/>
            <w:hideMark/>
          </w:tcPr>
          <w:p w:rsidRPr="008C10B6" w:rsidR="00447DF1" w:rsidP="00765244" w:rsidRDefault="00447DF1" w14:paraId="69F048A7" w14:textId="77777777">
            <w:pPr>
              <w:jc w:val="both"/>
              <w:rPr>
                <w:b/>
                <w:bCs/>
                <w:color w:val="000000"/>
                <w:sz w:val="22"/>
                <w:szCs w:val="22"/>
                <w:lang w:val="en-GB"/>
              </w:rPr>
            </w:pPr>
            <w:r w:rsidRPr="008C10B6">
              <w:rPr>
                <w:b/>
                <w:bCs/>
                <w:color w:val="000000"/>
                <w:sz w:val="22"/>
                <w:szCs w:val="22"/>
                <w:lang w:val="en-GB"/>
              </w:rPr>
              <w:t> ABSTENTION</w:t>
            </w:r>
          </w:p>
        </w:tc>
      </w:tr>
      <w:tr w:rsidRPr="006B457D" w:rsidR="00447DF1" w:rsidTr="00765244" w14:paraId="7D0786D9" w14:textId="77777777">
        <w:trPr>
          <w:trHeight w:val="300"/>
        </w:trPr>
        <w:tc>
          <w:tcPr>
            <w:tcW w:w="2559" w:type="dxa"/>
            <w:tcBorders>
              <w:top w:val="nil"/>
              <w:left w:val="single" w:color="auto" w:sz="4" w:space="0"/>
              <w:bottom w:val="single" w:color="auto" w:sz="4" w:space="0"/>
              <w:right w:val="single" w:color="auto" w:sz="4" w:space="0"/>
            </w:tcBorders>
            <w:shd w:val="clear" w:color="auto" w:fill="auto"/>
            <w:noWrap/>
            <w:vAlign w:val="bottom"/>
            <w:hideMark/>
          </w:tcPr>
          <w:p w:rsidRPr="008713B0" w:rsidR="00447DF1" w:rsidP="00765244" w:rsidRDefault="00447DF1" w14:paraId="62606FFB" w14:textId="77777777">
            <w:pPr>
              <w:jc w:val="both"/>
              <w:rPr>
                <w:color w:val="000000"/>
                <w:sz w:val="22"/>
                <w:szCs w:val="22"/>
                <w:lang w:val="en-GB"/>
              </w:rPr>
            </w:pPr>
          </w:p>
        </w:tc>
        <w:tc>
          <w:tcPr>
            <w:tcW w:w="2815" w:type="dxa"/>
            <w:tcBorders>
              <w:top w:val="nil"/>
              <w:left w:val="nil"/>
              <w:bottom w:val="single" w:color="auto" w:sz="4" w:space="0"/>
              <w:right w:val="single" w:color="auto" w:sz="4" w:space="0"/>
            </w:tcBorders>
            <w:shd w:val="clear" w:color="auto" w:fill="auto"/>
            <w:noWrap/>
            <w:vAlign w:val="bottom"/>
            <w:hideMark/>
          </w:tcPr>
          <w:p w:rsidRPr="008713B0" w:rsidR="00447DF1" w:rsidP="00765244" w:rsidRDefault="00447DF1" w14:paraId="28B4ECCB" w14:textId="77777777">
            <w:pPr>
              <w:jc w:val="both"/>
              <w:rPr>
                <w:color w:val="000000"/>
                <w:sz w:val="22"/>
                <w:szCs w:val="22"/>
                <w:lang w:val="en-GB"/>
              </w:rPr>
            </w:pPr>
          </w:p>
        </w:tc>
        <w:tc>
          <w:tcPr>
            <w:tcW w:w="3176" w:type="dxa"/>
            <w:tcBorders>
              <w:top w:val="nil"/>
              <w:left w:val="nil"/>
              <w:bottom w:val="single" w:color="auto" w:sz="4" w:space="0"/>
              <w:right w:val="single" w:color="auto" w:sz="4" w:space="0"/>
            </w:tcBorders>
            <w:shd w:val="clear" w:color="auto" w:fill="auto"/>
            <w:noWrap/>
            <w:vAlign w:val="bottom"/>
            <w:hideMark/>
          </w:tcPr>
          <w:p w:rsidRPr="008713B0" w:rsidR="00447DF1" w:rsidP="00765244" w:rsidRDefault="00447DF1" w14:paraId="3FECDDD8" w14:textId="77777777">
            <w:pPr>
              <w:jc w:val="both"/>
              <w:rPr>
                <w:color w:val="000000"/>
                <w:sz w:val="22"/>
                <w:szCs w:val="22"/>
                <w:lang w:val="en-GB"/>
              </w:rPr>
            </w:pPr>
          </w:p>
        </w:tc>
      </w:tr>
    </w:tbl>
    <w:p w:rsidR="00447DF1" w:rsidP="00447DF1" w:rsidRDefault="00447DF1" w14:paraId="24CD3BCE" w14:textId="77777777">
      <w:pPr>
        <w:ind w:left="450"/>
        <w:jc w:val="both"/>
        <w:rPr>
          <w:i/>
          <w:sz w:val="22"/>
          <w:szCs w:val="22"/>
          <w:lang w:val="en-GB" w:eastAsia="ro-RO"/>
        </w:rPr>
      </w:pPr>
    </w:p>
    <w:p w:rsidR="00447DF1" w:rsidP="00447DF1" w:rsidRDefault="00447DF1" w14:paraId="707C02CF" w14:textId="77777777">
      <w:pPr>
        <w:pStyle w:val="ListParagraph"/>
        <w:ind w:left="450"/>
        <w:contextualSpacing w:val="0"/>
        <w:jc w:val="both"/>
        <w:rPr>
          <w:sz w:val="22"/>
          <w:szCs w:val="22"/>
          <w:lang w:val="en-GB" w:eastAsia="ro-RO"/>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Pr>
          <w:i/>
          <w:sz w:val="22"/>
          <w:szCs w:val="22"/>
          <w:lang w:val="en-GB" w:eastAsia="ro-RO"/>
        </w:rPr>
        <w:t xml:space="preserve">mean that </w:t>
      </w:r>
      <w:r w:rsidRPr="008713B0">
        <w:rPr>
          <w:i/>
          <w:sz w:val="22"/>
          <w:szCs w:val="22"/>
          <w:lang w:val="en-GB" w:eastAsia="ro-RO"/>
        </w:rPr>
        <w:t>the vote will not be taken into consideration</w:t>
      </w:r>
      <w:r w:rsidRPr="008713B0">
        <w:rPr>
          <w:sz w:val="22"/>
          <w:szCs w:val="22"/>
          <w:lang w:val="en-GB" w:eastAsia="ro-RO"/>
        </w:rPr>
        <w:t>.</w:t>
      </w:r>
    </w:p>
    <w:p w:rsidRPr="00662182" w:rsidR="00447DF1" w:rsidP="00447DF1" w:rsidRDefault="00447DF1" w14:paraId="6084A925" w14:textId="77777777">
      <w:pPr>
        <w:pStyle w:val="ListParagraph"/>
        <w:ind w:left="450"/>
        <w:contextualSpacing w:val="0"/>
        <w:jc w:val="both"/>
        <w:rPr>
          <w:sz w:val="22"/>
          <w:szCs w:val="22"/>
          <w:lang w:val="en-GB" w:eastAsia="ro-RO"/>
        </w:rPr>
      </w:pPr>
    </w:p>
    <w:p w:rsidRPr="00A712D8" w:rsidR="00447DF1" w:rsidP="00447DF1" w:rsidRDefault="00447DF1" w14:paraId="5C59EAA6" w14:textId="77777777">
      <w:pPr>
        <w:pStyle w:val="ListParagraph"/>
        <w:numPr>
          <w:ilvl w:val="0"/>
          <w:numId w:val="2"/>
        </w:numPr>
        <w:ind w:left="450"/>
        <w:contextualSpacing w:val="0"/>
        <w:jc w:val="both"/>
        <w:rPr>
          <w:b/>
          <w:bCs/>
          <w:i/>
          <w:iCs/>
          <w:sz w:val="22"/>
          <w:szCs w:val="22"/>
          <w:lang w:val="en-GB"/>
        </w:rPr>
      </w:pPr>
      <w:r w:rsidRPr="00195112">
        <w:rPr>
          <w:b/>
          <w:bCs/>
          <w:sz w:val="22"/>
          <w:szCs w:val="22"/>
          <w:lang w:val="en-GB"/>
        </w:rPr>
        <w:t>For item 9 on the agenda, respectively:</w:t>
      </w:r>
    </w:p>
    <w:p w:rsidR="00447DF1" w:rsidP="00447DF1" w:rsidRDefault="00447DF1" w14:paraId="008BC5F7" w14:textId="77777777">
      <w:pPr>
        <w:pStyle w:val="ListParagraph"/>
        <w:ind w:left="450"/>
        <w:contextualSpacing w:val="0"/>
        <w:jc w:val="both"/>
        <w:rPr>
          <w:b/>
          <w:bCs/>
          <w:sz w:val="22"/>
          <w:szCs w:val="22"/>
          <w:lang w:val="en-GB"/>
        </w:rPr>
      </w:pPr>
    </w:p>
    <w:p w:rsidR="00447DF1" w:rsidP="00447DF1" w:rsidRDefault="00447DF1" w14:paraId="0D36382D" w14:textId="77777777">
      <w:pPr>
        <w:pStyle w:val="ListParagraph"/>
        <w:ind w:left="450"/>
        <w:contextualSpacing w:val="0"/>
        <w:jc w:val="both"/>
        <w:rPr>
          <w:i/>
          <w:iCs/>
          <w:sz w:val="22"/>
          <w:szCs w:val="22"/>
          <w:lang w:val="en-GB"/>
        </w:rPr>
      </w:pPr>
      <w:r w:rsidRPr="003A01B3">
        <w:rPr>
          <w:i/>
          <w:iCs/>
          <w:sz w:val="22"/>
          <w:szCs w:val="22"/>
          <w:lang w:val="en-GB"/>
        </w:rPr>
        <w:t>“</w:t>
      </w:r>
      <w:r w:rsidRPr="00A712D8">
        <w:rPr>
          <w:i/>
          <w:iCs/>
          <w:sz w:val="22"/>
          <w:szCs w:val="22"/>
          <w:lang w:val="en-GB"/>
        </w:rPr>
        <w:t>The approval of the reclassification of the amount of RON 1,776,611 from the category “Expenses related to listing of portfolio holdings” to “Fund Manager Selection related expenses” for the payment of services related to the selection of an AIFM, including negotiations of the management agreement with the AIFM, financial advisory services and legal services required for this purpose, along with the approval of the corresponding amendment to the 2025 Fondul Proprietatea Budget, in accordance with the supporting materials. The reclassification is neutral to the total 2025 Fondul Proprietatea budget, which will remain unchanged.”</w:t>
      </w:r>
    </w:p>
    <w:p w:rsidR="00C30CCC" w:rsidP="00447DF1" w:rsidRDefault="00C30CCC" w14:paraId="28F67B69" w14:textId="77777777">
      <w:pPr>
        <w:pStyle w:val="ListParagraph"/>
        <w:ind w:left="450"/>
        <w:contextualSpacing w:val="0"/>
        <w:jc w:val="both"/>
        <w:rPr>
          <w:i/>
          <w:iCs/>
          <w:sz w:val="22"/>
          <w:szCs w:val="22"/>
          <w:lang w:val="en-GB"/>
        </w:rPr>
      </w:pPr>
    </w:p>
    <w:p w:rsidR="00447DF1" w:rsidP="00447DF1" w:rsidRDefault="00447DF1" w14:paraId="7415C69A" w14:textId="77777777">
      <w:pPr>
        <w:pStyle w:val="ListParagraph"/>
        <w:ind w:left="450"/>
        <w:contextualSpacing w:val="0"/>
        <w:jc w:val="both"/>
        <w:rPr>
          <w:i/>
          <w:iCs/>
          <w:sz w:val="22"/>
          <w:szCs w:val="22"/>
          <w:lang w:val="en-GB"/>
        </w:rPr>
      </w:pPr>
    </w:p>
    <w:tbl>
      <w:tblPr>
        <w:tblW w:w="8550" w:type="dxa"/>
        <w:tblInd w:w="535" w:type="dxa"/>
        <w:tblLayout w:type="fixed"/>
        <w:tblLook w:val="04A0" w:firstRow="1" w:lastRow="0" w:firstColumn="1" w:lastColumn="0" w:noHBand="0" w:noVBand="1"/>
      </w:tblPr>
      <w:tblGrid>
        <w:gridCol w:w="2559"/>
        <w:gridCol w:w="2815"/>
        <w:gridCol w:w="3176"/>
      </w:tblGrid>
      <w:tr w:rsidRPr="006B457D" w:rsidR="00447DF1" w:rsidTr="00765244" w14:paraId="58D9990E" w14:textId="77777777">
        <w:trPr>
          <w:trHeight w:val="300"/>
        </w:trPr>
        <w:tc>
          <w:tcPr>
            <w:tcW w:w="255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C10B6" w:rsidR="00447DF1" w:rsidP="00765244" w:rsidRDefault="00447DF1" w14:paraId="0270E664" w14:textId="77777777">
            <w:pPr>
              <w:jc w:val="both"/>
              <w:rPr>
                <w:b/>
                <w:bCs/>
                <w:color w:val="000000"/>
                <w:sz w:val="22"/>
                <w:szCs w:val="22"/>
                <w:lang w:val="en-GB"/>
              </w:rPr>
            </w:pPr>
            <w:r w:rsidRPr="008C10B6">
              <w:rPr>
                <w:b/>
                <w:bCs/>
                <w:color w:val="000000"/>
                <w:sz w:val="22"/>
                <w:szCs w:val="22"/>
                <w:lang w:val="en-GB"/>
              </w:rPr>
              <w:t> FOR</w:t>
            </w:r>
          </w:p>
        </w:tc>
        <w:tc>
          <w:tcPr>
            <w:tcW w:w="2815" w:type="dxa"/>
            <w:tcBorders>
              <w:top w:val="single" w:color="auto" w:sz="4" w:space="0"/>
              <w:left w:val="nil"/>
              <w:bottom w:val="single" w:color="auto" w:sz="4" w:space="0"/>
              <w:right w:val="single" w:color="auto" w:sz="4" w:space="0"/>
            </w:tcBorders>
            <w:shd w:val="clear" w:color="auto" w:fill="auto"/>
            <w:noWrap/>
            <w:vAlign w:val="bottom"/>
            <w:hideMark/>
          </w:tcPr>
          <w:p w:rsidRPr="008C10B6" w:rsidR="00447DF1" w:rsidP="00765244" w:rsidRDefault="00447DF1" w14:paraId="40433D81" w14:textId="77777777">
            <w:pPr>
              <w:jc w:val="both"/>
              <w:rPr>
                <w:b/>
                <w:bCs/>
                <w:color w:val="000000"/>
                <w:sz w:val="22"/>
                <w:szCs w:val="22"/>
                <w:lang w:val="en-GB"/>
              </w:rPr>
            </w:pPr>
            <w:r w:rsidRPr="008C10B6">
              <w:rPr>
                <w:b/>
                <w:bCs/>
                <w:color w:val="000000"/>
                <w:sz w:val="22"/>
                <w:szCs w:val="22"/>
                <w:lang w:val="en-GB"/>
              </w:rPr>
              <w:t>AGAINST</w:t>
            </w:r>
          </w:p>
        </w:tc>
        <w:tc>
          <w:tcPr>
            <w:tcW w:w="3176" w:type="dxa"/>
            <w:tcBorders>
              <w:top w:val="single" w:color="auto" w:sz="4" w:space="0"/>
              <w:left w:val="nil"/>
              <w:bottom w:val="single" w:color="auto" w:sz="4" w:space="0"/>
              <w:right w:val="single" w:color="auto" w:sz="4" w:space="0"/>
            </w:tcBorders>
            <w:shd w:val="clear" w:color="auto" w:fill="auto"/>
            <w:noWrap/>
            <w:vAlign w:val="bottom"/>
            <w:hideMark/>
          </w:tcPr>
          <w:p w:rsidRPr="008C10B6" w:rsidR="00447DF1" w:rsidP="00765244" w:rsidRDefault="00447DF1" w14:paraId="6E9B5A06" w14:textId="77777777">
            <w:pPr>
              <w:jc w:val="both"/>
              <w:rPr>
                <w:b/>
                <w:bCs/>
                <w:color w:val="000000"/>
                <w:sz w:val="22"/>
                <w:szCs w:val="22"/>
                <w:lang w:val="en-GB"/>
              </w:rPr>
            </w:pPr>
            <w:r w:rsidRPr="008C10B6">
              <w:rPr>
                <w:b/>
                <w:bCs/>
                <w:color w:val="000000"/>
                <w:sz w:val="22"/>
                <w:szCs w:val="22"/>
                <w:lang w:val="en-GB"/>
              </w:rPr>
              <w:t> ABSTENTION</w:t>
            </w:r>
          </w:p>
        </w:tc>
      </w:tr>
      <w:tr w:rsidRPr="006B457D" w:rsidR="00447DF1" w:rsidTr="00765244" w14:paraId="5F30B706" w14:textId="77777777">
        <w:trPr>
          <w:trHeight w:val="300"/>
        </w:trPr>
        <w:tc>
          <w:tcPr>
            <w:tcW w:w="2559" w:type="dxa"/>
            <w:tcBorders>
              <w:top w:val="nil"/>
              <w:left w:val="single" w:color="auto" w:sz="4" w:space="0"/>
              <w:bottom w:val="single" w:color="auto" w:sz="4" w:space="0"/>
              <w:right w:val="single" w:color="auto" w:sz="4" w:space="0"/>
            </w:tcBorders>
            <w:shd w:val="clear" w:color="auto" w:fill="auto"/>
            <w:noWrap/>
            <w:vAlign w:val="bottom"/>
            <w:hideMark/>
          </w:tcPr>
          <w:p w:rsidRPr="008713B0" w:rsidR="00447DF1" w:rsidP="00765244" w:rsidRDefault="00447DF1" w14:paraId="2ED1981C" w14:textId="77777777">
            <w:pPr>
              <w:jc w:val="both"/>
              <w:rPr>
                <w:color w:val="000000"/>
                <w:sz w:val="22"/>
                <w:szCs w:val="22"/>
                <w:lang w:val="en-GB"/>
              </w:rPr>
            </w:pPr>
          </w:p>
        </w:tc>
        <w:tc>
          <w:tcPr>
            <w:tcW w:w="2815" w:type="dxa"/>
            <w:tcBorders>
              <w:top w:val="nil"/>
              <w:left w:val="nil"/>
              <w:bottom w:val="single" w:color="auto" w:sz="4" w:space="0"/>
              <w:right w:val="single" w:color="auto" w:sz="4" w:space="0"/>
            </w:tcBorders>
            <w:shd w:val="clear" w:color="auto" w:fill="auto"/>
            <w:noWrap/>
            <w:vAlign w:val="bottom"/>
            <w:hideMark/>
          </w:tcPr>
          <w:p w:rsidRPr="008713B0" w:rsidR="00447DF1" w:rsidP="00765244" w:rsidRDefault="00447DF1" w14:paraId="39C544D6" w14:textId="77777777">
            <w:pPr>
              <w:jc w:val="both"/>
              <w:rPr>
                <w:color w:val="000000"/>
                <w:sz w:val="22"/>
                <w:szCs w:val="22"/>
                <w:lang w:val="en-GB"/>
              </w:rPr>
            </w:pPr>
          </w:p>
        </w:tc>
        <w:tc>
          <w:tcPr>
            <w:tcW w:w="3176" w:type="dxa"/>
            <w:tcBorders>
              <w:top w:val="nil"/>
              <w:left w:val="nil"/>
              <w:bottom w:val="single" w:color="auto" w:sz="4" w:space="0"/>
              <w:right w:val="single" w:color="auto" w:sz="4" w:space="0"/>
            </w:tcBorders>
            <w:shd w:val="clear" w:color="auto" w:fill="auto"/>
            <w:noWrap/>
            <w:vAlign w:val="bottom"/>
            <w:hideMark/>
          </w:tcPr>
          <w:p w:rsidRPr="008713B0" w:rsidR="00447DF1" w:rsidP="00765244" w:rsidRDefault="00447DF1" w14:paraId="5FEE9756" w14:textId="77777777">
            <w:pPr>
              <w:jc w:val="both"/>
              <w:rPr>
                <w:color w:val="000000"/>
                <w:sz w:val="22"/>
                <w:szCs w:val="22"/>
                <w:lang w:val="en-GB"/>
              </w:rPr>
            </w:pPr>
          </w:p>
        </w:tc>
      </w:tr>
    </w:tbl>
    <w:p w:rsidR="00447DF1" w:rsidP="00447DF1" w:rsidRDefault="00447DF1" w14:paraId="6AEA59E3" w14:textId="77777777">
      <w:pPr>
        <w:ind w:left="450"/>
        <w:jc w:val="both"/>
        <w:rPr>
          <w:i/>
          <w:sz w:val="22"/>
          <w:szCs w:val="22"/>
          <w:lang w:val="en-GB" w:eastAsia="ro-RO"/>
        </w:rPr>
      </w:pPr>
    </w:p>
    <w:p w:rsidR="00447DF1" w:rsidP="00447DF1" w:rsidRDefault="00447DF1" w14:paraId="3B874B35" w14:textId="77777777">
      <w:pPr>
        <w:pStyle w:val="ListParagraph"/>
        <w:ind w:left="450"/>
        <w:contextualSpacing w:val="0"/>
        <w:jc w:val="both"/>
        <w:rPr>
          <w:sz w:val="22"/>
          <w:szCs w:val="22"/>
          <w:lang w:val="en-GB" w:eastAsia="ro-RO"/>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Pr>
          <w:i/>
          <w:sz w:val="22"/>
          <w:szCs w:val="22"/>
          <w:lang w:val="en-GB" w:eastAsia="ro-RO"/>
        </w:rPr>
        <w:t xml:space="preserve">mean that </w:t>
      </w:r>
      <w:r w:rsidRPr="008713B0">
        <w:rPr>
          <w:i/>
          <w:sz w:val="22"/>
          <w:szCs w:val="22"/>
          <w:lang w:val="en-GB" w:eastAsia="ro-RO"/>
        </w:rPr>
        <w:t>the vote will not be taken into consideration</w:t>
      </w:r>
      <w:r w:rsidRPr="008713B0">
        <w:rPr>
          <w:sz w:val="22"/>
          <w:szCs w:val="22"/>
          <w:lang w:val="en-GB" w:eastAsia="ro-RO"/>
        </w:rPr>
        <w:t>.</w:t>
      </w:r>
    </w:p>
    <w:p w:rsidR="00447DF1" w:rsidP="00447DF1" w:rsidRDefault="00447DF1" w14:paraId="505CFFE7" w14:textId="77777777">
      <w:pPr>
        <w:pStyle w:val="ListParagraph"/>
        <w:ind w:left="450"/>
        <w:contextualSpacing w:val="0"/>
        <w:jc w:val="both"/>
        <w:rPr>
          <w:i/>
          <w:iCs/>
          <w:sz w:val="22"/>
          <w:szCs w:val="22"/>
          <w:lang w:val="en-GB"/>
        </w:rPr>
      </w:pPr>
    </w:p>
    <w:p w:rsidRPr="000167E9" w:rsidR="00447DF1" w:rsidP="00447DF1" w:rsidRDefault="00447DF1" w14:paraId="1AD21DFB" w14:textId="77777777">
      <w:pPr>
        <w:pStyle w:val="ListParagraph"/>
        <w:numPr>
          <w:ilvl w:val="0"/>
          <w:numId w:val="2"/>
        </w:numPr>
        <w:ind w:left="450"/>
        <w:contextualSpacing w:val="0"/>
        <w:jc w:val="both"/>
        <w:rPr>
          <w:b/>
          <w:bCs/>
          <w:i/>
          <w:iCs/>
          <w:sz w:val="22"/>
          <w:szCs w:val="22"/>
          <w:lang w:val="en-GB"/>
        </w:rPr>
      </w:pPr>
      <w:r w:rsidRPr="00A712D8">
        <w:rPr>
          <w:b/>
          <w:bCs/>
          <w:sz w:val="22"/>
          <w:szCs w:val="22"/>
          <w:lang w:val="en-GB"/>
        </w:rPr>
        <w:t>For item 10 on the agenda, respectively:</w:t>
      </w:r>
    </w:p>
    <w:p w:rsidR="00447DF1" w:rsidP="00447DF1" w:rsidRDefault="00447DF1" w14:paraId="09D4F097" w14:textId="77777777">
      <w:pPr>
        <w:pStyle w:val="ListParagraph"/>
        <w:ind w:left="450"/>
        <w:contextualSpacing w:val="0"/>
        <w:jc w:val="both"/>
        <w:rPr>
          <w:b/>
          <w:bCs/>
          <w:sz w:val="22"/>
          <w:szCs w:val="22"/>
          <w:lang w:val="en-GB"/>
        </w:rPr>
      </w:pPr>
    </w:p>
    <w:p w:rsidRPr="00E201DF" w:rsidR="00447DF1" w:rsidP="00447DF1" w:rsidRDefault="00447DF1" w14:paraId="491E927E" w14:textId="77777777">
      <w:pPr>
        <w:pStyle w:val="ListParagraph"/>
        <w:tabs>
          <w:tab w:val="left" w:pos="540"/>
        </w:tabs>
        <w:ind w:left="540"/>
        <w:contextualSpacing w:val="0"/>
        <w:jc w:val="both"/>
        <w:rPr>
          <w:i/>
          <w:iCs/>
          <w:sz w:val="22"/>
          <w:szCs w:val="22"/>
          <w:lang w:val="en-GB"/>
        </w:rPr>
      </w:pPr>
      <w:r w:rsidRPr="00E201DF">
        <w:rPr>
          <w:i/>
          <w:iCs/>
          <w:sz w:val="22"/>
          <w:szCs w:val="22"/>
          <w:lang w:val="en-GB"/>
        </w:rPr>
        <w:t xml:space="preserve">“The </w:t>
      </w:r>
      <w:r w:rsidRPr="00E201DF">
        <w:rPr>
          <w:i/>
          <w:iCs/>
          <w:sz w:val="22"/>
          <w:szCs w:val="22"/>
        </w:rPr>
        <w:t>approval</w:t>
      </w:r>
      <w:r w:rsidRPr="00E201DF">
        <w:rPr>
          <w:i/>
          <w:iCs/>
          <w:sz w:val="22"/>
          <w:szCs w:val="22"/>
          <w:lang w:val="en-GB"/>
        </w:rPr>
        <w:t xml:space="preserve"> of:</w:t>
      </w:r>
    </w:p>
    <w:p w:rsidRPr="00E201DF" w:rsidR="00447DF1" w:rsidP="00447DF1" w:rsidRDefault="00447DF1" w14:paraId="34E6CA1C" w14:textId="77777777">
      <w:pPr>
        <w:pStyle w:val="ListParagraph"/>
        <w:ind w:left="284"/>
        <w:jc w:val="both"/>
        <w:rPr>
          <w:i/>
          <w:iCs/>
          <w:sz w:val="22"/>
          <w:szCs w:val="22"/>
          <w:lang w:val="en-GB"/>
        </w:rPr>
      </w:pPr>
    </w:p>
    <w:p w:rsidRPr="00E201DF" w:rsidR="00447DF1" w:rsidP="00447DF1" w:rsidRDefault="00447DF1" w14:paraId="14E461F3" w14:textId="77777777">
      <w:pPr>
        <w:pStyle w:val="ListParagraph"/>
        <w:numPr>
          <w:ilvl w:val="0"/>
          <w:numId w:val="24"/>
        </w:numPr>
        <w:ind w:left="1080" w:hanging="540"/>
        <w:contextualSpacing w:val="0"/>
        <w:jc w:val="both"/>
        <w:rPr>
          <w:i/>
          <w:iCs/>
          <w:sz w:val="22"/>
          <w:szCs w:val="22"/>
          <w:lang w:val="en-GB"/>
        </w:rPr>
      </w:pPr>
      <w:r w:rsidRPr="00E201DF">
        <w:rPr>
          <w:i/>
          <w:iCs/>
          <w:sz w:val="22"/>
          <w:szCs w:val="22"/>
          <w:lang w:val="en-GB"/>
        </w:rPr>
        <w:t xml:space="preserve">The date of </w:t>
      </w:r>
      <w:r w:rsidRPr="00E201DF">
        <w:rPr>
          <w:b/>
          <w:bCs/>
          <w:i/>
          <w:iCs/>
          <w:sz w:val="22"/>
          <w:szCs w:val="22"/>
          <w:lang w:val="en-GB"/>
        </w:rPr>
        <w:t>27 May 2025</w:t>
      </w:r>
      <w:r w:rsidRPr="00E201DF">
        <w:rPr>
          <w:i/>
          <w:iCs/>
          <w:sz w:val="22"/>
          <w:szCs w:val="22"/>
          <w:lang w:val="en-GB"/>
        </w:rPr>
        <w:t xml:space="preserve"> as the </w:t>
      </w:r>
      <w:r w:rsidRPr="00E201DF">
        <w:rPr>
          <w:b/>
          <w:bCs/>
          <w:i/>
          <w:iCs/>
          <w:sz w:val="22"/>
          <w:szCs w:val="22"/>
          <w:lang w:val="en-GB"/>
        </w:rPr>
        <w:t>Ex – Date</w:t>
      </w:r>
      <w:r w:rsidRPr="00E201DF">
        <w:rPr>
          <w:i/>
          <w:iCs/>
          <w:sz w:val="22"/>
          <w:szCs w:val="22"/>
          <w:lang w:val="en-GB"/>
        </w:rPr>
        <w:t xml:space="preserve">, in accordance with Article 176 paragraph (1), computed with the provisions of Article 2 paragraph (2) letter (l) of Regulation no. 5/2018; </w:t>
      </w:r>
    </w:p>
    <w:p w:rsidRPr="00E201DF" w:rsidR="00447DF1" w:rsidP="00447DF1" w:rsidRDefault="00447DF1" w14:paraId="188E6F96" w14:textId="77777777">
      <w:pPr>
        <w:pStyle w:val="ListParagraph"/>
        <w:jc w:val="both"/>
        <w:rPr>
          <w:i/>
          <w:iCs/>
          <w:sz w:val="22"/>
          <w:szCs w:val="22"/>
          <w:lang w:val="en-GB"/>
        </w:rPr>
      </w:pPr>
    </w:p>
    <w:p w:rsidRPr="00E201DF" w:rsidR="00447DF1" w:rsidP="00447DF1" w:rsidRDefault="00447DF1" w14:paraId="2B5B8BD6" w14:textId="77777777">
      <w:pPr>
        <w:pStyle w:val="ListParagraph"/>
        <w:tabs>
          <w:tab w:val="left" w:pos="1080"/>
        </w:tabs>
        <w:ind w:left="1080"/>
        <w:jc w:val="both"/>
        <w:rPr>
          <w:i/>
          <w:iCs/>
          <w:sz w:val="22"/>
          <w:szCs w:val="22"/>
          <w:lang w:val="en-GB"/>
        </w:rPr>
      </w:pPr>
      <w:r w:rsidRPr="00E201DF">
        <w:rPr>
          <w:i/>
          <w:iCs/>
          <w:sz w:val="22"/>
          <w:szCs w:val="22"/>
          <w:lang w:val="en-GB"/>
        </w:rPr>
        <w:t xml:space="preserve">The date of </w:t>
      </w:r>
      <w:r w:rsidRPr="00E201DF">
        <w:rPr>
          <w:b/>
          <w:bCs/>
          <w:i/>
          <w:iCs/>
          <w:sz w:val="22"/>
          <w:szCs w:val="22"/>
          <w:lang w:val="en-GB"/>
        </w:rPr>
        <w:t>28 May 2025</w:t>
      </w:r>
      <w:r w:rsidRPr="00E201DF">
        <w:rPr>
          <w:i/>
          <w:iCs/>
          <w:sz w:val="22"/>
          <w:szCs w:val="22"/>
          <w:lang w:val="en-GB"/>
        </w:rPr>
        <w:t xml:space="preserve"> as the </w:t>
      </w:r>
      <w:r w:rsidRPr="00E201DF">
        <w:rPr>
          <w:b/>
          <w:bCs/>
          <w:i/>
          <w:iCs/>
          <w:sz w:val="22"/>
          <w:szCs w:val="22"/>
          <w:lang w:val="en-GB"/>
        </w:rPr>
        <w:t>Registration Date</w:t>
      </w:r>
      <w:r w:rsidRPr="00E201DF">
        <w:rPr>
          <w:i/>
          <w:iCs/>
          <w:sz w:val="22"/>
          <w:szCs w:val="22"/>
          <w:lang w:val="en-GB"/>
        </w:rPr>
        <w:t>, in accordance with Article 176 paragraph (1) of Regulation no. 5/2018, computed with the provisions of Article 87 paragraph (1) of Issuers’ Law.</w:t>
      </w:r>
    </w:p>
    <w:p w:rsidRPr="00E201DF" w:rsidR="00447DF1" w:rsidP="00447DF1" w:rsidRDefault="00447DF1" w14:paraId="72104903" w14:textId="77777777">
      <w:pPr>
        <w:pStyle w:val="ListParagraph"/>
        <w:jc w:val="both"/>
        <w:rPr>
          <w:i/>
          <w:iCs/>
          <w:sz w:val="22"/>
          <w:szCs w:val="22"/>
          <w:lang w:val="en-GB"/>
        </w:rPr>
      </w:pPr>
    </w:p>
    <w:p w:rsidRPr="00E201DF" w:rsidR="00447DF1" w:rsidP="00447DF1" w:rsidRDefault="00447DF1" w14:paraId="75CDE1BC" w14:textId="77777777">
      <w:pPr>
        <w:pStyle w:val="ListParagraph"/>
        <w:ind w:left="1080"/>
        <w:jc w:val="both"/>
        <w:rPr>
          <w:i/>
          <w:iCs/>
          <w:sz w:val="22"/>
          <w:szCs w:val="22"/>
          <w:lang w:val="en-GB"/>
        </w:rPr>
      </w:pPr>
      <w:r w:rsidRPr="00E201DF">
        <w:rPr>
          <w:i/>
          <w:iCs/>
          <w:sz w:val="22"/>
          <w:szCs w:val="22"/>
          <w:lang w:val="en-GB"/>
        </w:rPr>
        <w:t xml:space="preserve">The date of </w:t>
      </w:r>
      <w:r w:rsidRPr="00E201DF">
        <w:rPr>
          <w:b/>
          <w:bCs/>
          <w:i/>
          <w:iCs/>
          <w:sz w:val="22"/>
          <w:szCs w:val="22"/>
          <w:lang w:val="en-GB"/>
        </w:rPr>
        <w:t>19 June 2025</w:t>
      </w:r>
      <w:r w:rsidRPr="00E201DF">
        <w:rPr>
          <w:i/>
          <w:iCs/>
          <w:sz w:val="22"/>
          <w:szCs w:val="22"/>
          <w:lang w:val="en-GB"/>
        </w:rPr>
        <w:t xml:space="preserve"> as the </w:t>
      </w:r>
      <w:r w:rsidRPr="00E201DF">
        <w:rPr>
          <w:b/>
          <w:bCs/>
          <w:i/>
          <w:iCs/>
          <w:sz w:val="22"/>
          <w:szCs w:val="22"/>
          <w:lang w:val="en-GB"/>
        </w:rPr>
        <w:t>Payment Date</w:t>
      </w:r>
      <w:r w:rsidRPr="00E201DF">
        <w:rPr>
          <w:i/>
          <w:iCs/>
          <w:sz w:val="22"/>
          <w:szCs w:val="22"/>
          <w:lang w:val="en-GB"/>
        </w:rPr>
        <w:t xml:space="preserve">, in accordance with Article 178 paragraph (2) of Regulation no. 5/2018, computed with the provisions of Article 87 paragraph (2) of Issuers’ Law. </w:t>
      </w:r>
    </w:p>
    <w:p w:rsidRPr="00E201DF" w:rsidR="00447DF1" w:rsidP="00447DF1" w:rsidRDefault="00447DF1" w14:paraId="7659EDFE" w14:textId="77777777">
      <w:pPr>
        <w:pStyle w:val="ListParagraph"/>
        <w:jc w:val="both"/>
        <w:rPr>
          <w:i/>
          <w:iCs/>
          <w:sz w:val="22"/>
          <w:szCs w:val="22"/>
          <w:lang w:val="en-GB"/>
        </w:rPr>
      </w:pPr>
    </w:p>
    <w:p w:rsidRPr="00E201DF" w:rsidR="00447DF1" w:rsidP="00447DF1" w:rsidRDefault="00447DF1" w14:paraId="730C1D7C" w14:textId="77777777">
      <w:pPr>
        <w:pStyle w:val="ListParagraph"/>
        <w:ind w:left="1080"/>
        <w:jc w:val="both"/>
        <w:rPr>
          <w:i/>
          <w:iCs/>
          <w:sz w:val="22"/>
          <w:szCs w:val="22"/>
          <w:lang w:val="en-GB"/>
        </w:rPr>
      </w:pPr>
      <w:r w:rsidRPr="00E201DF">
        <w:rPr>
          <w:i/>
          <w:iCs/>
          <w:sz w:val="22"/>
          <w:szCs w:val="22"/>
          <w:lang w:val="en-GB"/>
        </w:rPr>
        <w:t>As they are not applicable to this OGM, the shareholders do not decide on the other aspects provided by Article 176 paragraph (1) of Regulation no. 5/2018 such as date of the guaranteed participation.</w:t>
      </w:r>
    </w:p>
    <w:p w:rsidRPr="00E201DF" w:rsidR="00447DF1" w:rsidP="00447DF1" w:rsidRDefault="00447DF1" w14:paraId="32D413C3" w14:textId="77777777">
      <w:pPr>
        <w:pStyle w:val="ListParagraph"/>
        <w:jc w:val="both"/>
        <w:rPr>
          <w:i/>
          <w:iCs/>
          <w:sz w:val="22"/>
          <w:szCs w:val="22"/>
          <w:lang w:val="en-GB"/>
        </w:rPr>
      </w:pPr>
      <w:r w:rsidRPr="00E201DF">
        <w:rPr>
          <w:i/>
          <w:iCs/>
          <w:sz w:val="22"/>
          <w:szCs w:val="22"/>
          <w:lang w:val="en-GB"/>
        </w:rPr>
        <w:tab/>
      </w:r>
    </w:p>
    <w:p w:rsidRPr="00E201DF" w:rsidR="00447DF1" w:rsidP="00447DF1" w:rsidRDefault="00447DF1" w14:paraId="0D06E11B" w14:textId="77777777">
      <w:pPr>
        <w:pStyle w:val="ListParagraph"/>
        <w:numPr>
          <w:ilvl w:val="0"/>
          <w:numId w:val="24"/>
        </w:numPr>
        <w:ind w:left="1080" w:hanging="540"/>
        <w:contextualSpacing w:val="0"/>
        <w:jc w:val="both"/>
        <w:rPr>
          <w:i/>
          <w:iCs/>
          <w:sz w:val="22"/>
          <w:szCs w:val="22"/>
          <w:lang w:val="en-GB"/>
        </w:rPr>
      </w:pPr>
      <w:r w:rsidRPr="00E201DF">
        <w:rPr>
          <w:i/>
          <w:iCs/>
          <w:sz w:val="22"/>
          <w:szCs w:val="22"/>
          <w:lang w:val="en-GB"/>
        </w:rPr>
        <w:t>The empowerment, with authority to sub-delegate, of Johan Meyer to sign the shareholders’ resolutions, as well as any other documents in connection therewith, and to carry out all procedures and formalities set out by law for the purpose of implementing the shareholders’ resolution, including formalities for publication and registration thereof with the Trade Registry or with any other public institution.”</w:t>
      </w:r>
    </w:p>
    <w:p w:rsidRPr="00A9094E" w:rsidR="00447DF1" w:rsidP="00447DF1" w:rsidRDefault="00447DF1" w14:paraId="5BF6844D" w14:textId="77777777">
      <w:pPr>
        <w:jc w:val="both"/>
        <w:rPr>
          <w:i/>
          <w:iCs/>
          <w:sz w:val="22"/>
          <w:szCs w:val="22"/>
          <w:lang w:val="en-GB"/>
        </w:rPr>
      </w:pPr>
    </w:p>
    <w:tbl>
      <w:tblPr>
        <w:tblW w:w="8550" w:type="dxa"/>
        <w:tblInd w:w="535" w:type="dxa"/>
        <w:tblLayout w:type="fixed"/>
        <w:tblLook w:val="04A0" w:firstRow="1" w:lastRow="0" w:firstColumn="1" w:lastColumn="0" w:noHBand="0" w:noVBand="1"/>
      </w:tblPr>
      <w:tblGrid>
        <w:gridCol w:w="2559"/>
        <w:gridCol w:w="2815"/>
        <w:gridCol w:w="3176"/>
      </w:tblGrid>
      <w:tr w:rsidRPr="006B457D" w:rsidR="00447DF1" w:rsidTr="00765244" w14:paraId="2B6B29C8" w14:textId="77777777">
        <w:trPr>
          <w:trHeight w:val="300"/>
        </w:trPr>
        <w:tc>
          <w:tcPr>
            <w:tcW w:w="2559"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C10B6" w:rsidR="00447DF1" w:rsidP="00765244" w:rsidRDefault="00447DF1" w14:paraId="1B3E605B" w14:textId="77777777">
            <w:pPr>
              <w:jc w:val="both"/>
              <w:rPr>
                <w:b/>
                <w:bCs/>
                <w:color w:val="000000"/>
                <w:sz w:val="22"/>
                <w:szCs w:val="22"/>
                <w:lang w:val="en-GB"/>
              </w:rPr>
            </w:pPr>
            <w:r w:rsidRPr="008C10B6">
              <w:rPr>
                <w:b/>
                <w:bCs/>
                <w:color w:val="000000"/>
                <w:sz w:val="22"/>
                <w:szCs w:val="22"/>
                <w:lang w:val="en-GB"/>
              </w:rPr>
              <w:t> FOR</w:t>
            </w:r>
          </w:p>
        </w:tc>
        <w:tc>
          <w:tcPr>
            <w:tcW w:w="2815" w:type="dxa"/>
            <w:tcBorders>
              <w:top w:val="single" w:color="auto" w:sz="4" w:space="0"/>
              <w:left w:val="nil"/>
              <w:bottom w:val="single" w:color="auto" w:sz="4" w:space="0"/>
              <w:right w:val="single" w:color="auto" w:sz="4" w:space="0"/>
            </w:tcBorders>
            <w:shd w:val="clear" w:color="auto" w:fill="auto"/>
            <w:noWrap/>
            <w:vAlign w:val="bottom"/>
            <w:hideMark/>
          </w:tcPr>
          <w:p w:rsidRPr="008C10B6" w:rsidR="00447DF1" w:rsidP="00765244" w:rsidRDefault="00447DF1" w14:paraId="4303497E" w14:textId="77777777">
            <w:pPr>
              <w:jc w:val="both"/>
              <w:rPr>
                <w:b/>
                <w:bCs/>
                <w:color w:val="000000"/>
                <w:sz w:val="22"/>
                <w:szCs w:val="22"/>
                <w:lang w:val="en-GB"/>
              </w:rPr>
            </w:pPr>
            <w:r w:rsidRPr="008C10B6">
              <w:rPr>
                <w:b/>
                <w:bCs/>
                <w:color w:val="000000"/>
                <w:sz w:val="22"/>
                <w:szCs w:val="22"/>
                <w:lang w:val="en-GB"/>
              </w:rPr>
              <w:t>AGAINST</w:t>
            </w:r>
          </w:p>
        </w:tc>
        <w:tc>
          <w:tcPr>
            <w:tcW w:w="3176" w:type="dxa"/>
            <w:tcBorders>
              <w:top w:val="single" w:color="auto" w:sz="4" w:space="0"/>
              <w:left w:val="nil"/>
              <w:bottom w:val="single" w:color="auto" w:sz="4" w:space="0"/>
              <w:right w:val="single" w:color="auto" w:sz="4" w:space="0"/>
            </w:tcBorders>
            <w:shd w:val="clear" w:color="auto" w:fill="auto"/>
            <w:noWrap/>
            <w:vAlign w:val="bottom"/>
            <w:hideMark/>
          </w:tcPr>
          <w:p w:rsidRPr="008C10B6" w:rsidR="00447DF1" w:rsidP="00765244" w:rsidRDefault="00447DF1" w14:paraId="702736B8" w14:textId="77777777">
            <w:pPr>
              <w:jc w:val="both"/>
              <w:rPr>
                <w:b/>
                <w:bCs/>
                <w:color w:val="000000"/>
                <w:sz w:val="22"/>
                <w:szCs w:val="22"/>
                <w:lang w:val="en-GB"/>
              </w:rPr>
            </w:pPr>
            <w:r w:rsidRPr="008C10B6">
              <w:rPr>
                <w:b/>
                <w:bCs/>
                <w:color w:val="000000"/>
                <w:sz w:val="22"/>
                <w:szCs w:val="22"/>
                <w:lang w:val="en-GB"/>
              </w:rPr>
              <w:t> ABSTENTION</w:t>
            </w:r>
          </w:p>
        </w:tc>
      </w:tr>
      <w:tr w:rsidRPr="006B457D" w:rsidR="00447DF1" w:rsidTr="00765244" w14:paraId="7EBA331B" w14:textId="77777777">
        <w:trPr>
          <w:trHeight w:val="300"/>
        </w:trPr>
        <w:tc>
          <w:tcPr>
            <w:tcW w:w="2559" w:type="dxa"/>
            <w:tcBorders>
              <w:top w:val="nil"/>
              <w:left w:val="single" w:color="auto" w:sz="4" w:space="0"/>
              <w:bottom w:val="single" w:color="auto" w:sz="4" w:space="0"/>
              <w:right w:val="single" w:color="auto" w:sz="4" w:space="0"/>
            </w:tcBorders>
            <w:shd w:val="clear" w:color="auto" w:fill="auto"/>
            <w:noWrap/>
            <w:vAlign w:val="bottom"/>
            <w:hideMark/>
          </w:tcPr>
          <w:p w:rsidRPr="008713B0" w:rsidR="00447DF1" w:rsidP="00765244" w:rsidRDefault="00447DF1" w14:paraId="492E97BA" w14:textId="77777777">
            <w:pPr>
              <w:jc w:val="both"/>
              <w:rPr>
                <w:color w:val="000000"/>
                <w:sz w:val="22"/>
                <w:szCs w:val="22"/>
                <w:lang w:val="en-GB"/>
              </w:rPr>
            </w:pPr>
          </w:p>
        </w:tc>
        <w:tc>
          <w:tcPr>
            <w:tcW w:w="2815" w:type="dxa"/>
            <w:tcBorders>
              <w:top w:val="nil"/>
              <w:left w:val="nil"/>
              <w:bottom w:val="single" w:color="auto" w:sz="4" w:space="0"/>
              <w:right w:val="single" w:color="auto" w:sz="4" w:space="0"/>
            </w:tcBorders>
            <w:shd w:val="clear" w:color="auto" w:fill="auto"/>
            <w:noWrap/>
            <w:vAlign w:val="bottom"/>
            <w:hideMark/>
          </w:tcPr>
          <w:p w:rsidRPr="008713B0" w:rsidR="00447DF1" w:rsidP="00765244" w:rsidRDefault="00447DF1" w14:paraId="1B7F8BA5" w14:textId="77777777">
            <w:pPr>
              <w:jc w:val="both"/>
              <w:rPr>
                <w:color w:val="000000"/>
                <w:sz w:val="22"/>
                <w:szCs w:val="22"/>
                <w:lang w:val="en-GB"/>
              </w:rPr>
            </w:pPr>
          </w:p>
        </w:tc>
        <w:tc>
          <w:tcPr>
            <w:tcW w:w="3176" w:type="dxa"/>
            <w:tcBorders>
              <w:top w:val="nil"/>
              <w:left w:val="nil"/>
              <w:bottom w:val="single" w:color="auto" w:sz="4" w:space="0"/>
              <w:right w:val="single" w:color="auto" w:sz="4" w:space="0"/>
            </w:tcBorders>
            <w:shd w:val="clear" w:color="auto" w:fill="auto"/>
            <w:noWrap/>
            <w:vAlign w:val="bottom"/>
            <w:hideMark/>
          </w:tcPr>
          <w:p w:rsidRPr="008713B0" w:rsidR="00447DF1" w:rsidP="00765244" w:rsidRDefault="00447DF1" w14:paraId="071D00F4" w14:textId="77777777">
            <w:pPr>
              <w:jc w:val="both"/>
              <w:rPr>
                <w:color w:val="000000"/>
                <w:sz w:val="22"/>
                <w:szCs w:val="22"/>
                <w:lang w:val="en-GB"/>
              </w:rPr>
            </w:pPr>
          </w:p>
        </w:tc>
      </w:tr>
    </w:tbl>
    <w:p w:rsidR="00447DF1" w:rsidP="00447DF1" w:rsidRDefault="00447DF1" w14:paraId="484781ED" w14:textId="77777777">
      <w:pPr>
        <w:ind w:left="450"/>
        <w:jc w:val="both"/>
        <w:rPr>
          <w:i/>
          <w:sz w:val="22"/>
          <w:szCs w:val="22"/>
          <w:lang w:val="en-GB" w:eastAsia="ro-RO"/>
        </w:rPr>
      </w:pPr>
    </w:p>
    <w:p w:rsidRPr="00A9094E" w:rsidR="00447DF1" w:rsidP="00447DF1" w:rsidRDefault="00447DF1" w14:paraId="7A504952" w14:textId="77777777">
      <w:pPr>
        <w:pStyle w:val="ListParagraph"/>
        <w:ind w:left="450"/>
        <w:contextualSpacing w:val="0"/>
        <w:jc w:val="both"/>
        <w:rPr>
          <w:sz w:val="22"/>
          <w:szCs w:val="22"/>
          <w:lang w:val="en-GB" w:eastAsia="ro-RO"/>
        </w:rPr>
      </w:pPr>
      <w:r w:rsidRPr="008713B0">
        <w:rPr>
          <w:i/>
          <w:sz w:val="22"/>
          <w:szCs w:val="22"/>
          <w:lang w:val="en-GB" w:eastAsia="ro-RO"/>
        </w:rPr>
        <w:t xml:space="preserve">Note: </w:t>
      </w:r>
      <w:r>
        <w:rPr>
          <w:i/>
          <w:sz w:val="22"/>
          <w:szCs w:val="22"/>
          <w:lang w:val="en-GB" w:eastAsia="ro-RO"/>
        </w:rPr>
        <w:t>Express</w:t>
      </w:r>
      <w:r w:rsidRPr="008713B0">
        <w:rPr>
          <w:i/>
          <w:sz w:val="22"/>
          <w:szCs w:val="22"/>
          <w:lang w:val="en-GB" w:eastAsia="ro-RO"/>
        </w:rPr>
        <w:t xml:space="preserve"> your vote by placing an „X” in one of the columns for each option: „FOR”, „AGAINST” or „ABSTENTION”. Placing an „X” in more than one column or not placing an „X” in any of the columns shall </w:t>
      </w:r>
      <w:r>
        <w:rPr>
          <w:i/>
          <w:sz w:val="22"/>
          <w:szCs w:val="22"/>
          <w:lang w:val="en-GB" w:eastAsia="ro-RO"/>
        </w:rPr>
        <w:t xml:space="preserve">mean that </w:t>
      </w:r>
      <w:r w:rsidRPr="008713B0">
        <w:rPr>
          <w:i/>
          <w:sz w:val="22"/>
          <w:szCs w:val="22"/>
          <w:lang w:val="en-GB" w:eastAsia="ro-RO"/>
        </w:rPr>
        <w:t>the vote will not be taken into consideration</w:t>
      </w:r>
      <w:r w:rsidRPr="008713B0">
        <w:rPr>
          <w:sz w:val="22"/>
          <w:szCs w:val="22"/>
          <w:lang w:val="en-GB" w:eastAsia="ro-RO"/>
        </w:rPr>
        <w:t>.</w:t>
      </w:r>
    </w:p>
    <w:p w:rsidRPr="000167E9" w:rsidR="00447DF1" w:rsidP="00447DF1" w:rsidRDefault="00447DF1" w14:paraId="7519C207" w14:textId="77777777">
      <w:pPr>
        <w:jc w:val="both"/>
        <w:rPr>
          <w:i/>
          <w:iCs/>
          <w:sz w:val="22"/>
          <w:szCs w:val="22"/>
          <w:lang w:val="en-GB"/>
        </w:rPr>
      </w:pPr>
    </w:p>
    <w:p w:rsidRPr="00FE7E6F" w:rsidR="00E91B01" w:rsidP="00E91B01" w:rsidRDefault="00E91B01" w14:paraId="4811BAD6" w14:textId="4CF6978F">
      <w:pPr>
        <w:jc w:val="both"/>
        <w:rPr>
          <w:sz w:val="22"/>
          <w:szCs w:val="22"/>
          <w:lang w:val="en-GB" w:eastAsia="ro-RO"/>
        </w:rPr>
      </w:pPr>
      <w:r w:rsidRPr="00FE7E6F">
        <w:rPr>
          <w:sz w:val="22"/>
          <w:szCs w:val="22"/>
          <w:lang w:val="en-GB" w:eastAsia="ro-RO"/>
        </w:rPr>
        <w:t>This special power of attorney:</w:t>
      </w:r>
    </w:p>
    <w:p w:rsidRPr="00FE7E6F" w:rsidR="00E91B01" w:rsidP="00E91B01" w:rsidRDefault="00E91B01" w14:paraId="6B3983DF" w14:textId="77777777">
      <w:pPr>
        <w:jc w:val="both"/>
        <w:rPr>
          <w:sz w:val="22"/>
          <w:szCs w:val="22"/>
          <w:lang w:val="en-GB" w:eastAsia="ro-RO"/>
        </w:rPr>
      </w:pPr>
    </w:p>
    <w:p w:rsidRPr="00FE7E6F" w:rsidR="00E91B01" w:rsidP="00E91B01" w:rsidRDefault="00E91B01" w14:paraId="188503F1" w14:textId="7E17A738">
      <w:pPr>
        <w:numPr>
          <w:ilvl w:val="0"/>
          <w:numId w:val="1"/>
        </w:numPr>
        <w:jc w:val="both"/>
        <w:rPr>
          <w:sz w:val="22"/>
          <w:szCs w:val="22"/>
          <w:lang w:val="en-GB" w:eastAsia="ro-RO"/>
        </w:rPr>
      </w:pPr>
      <w:r w:rsidRPr="00FE7E6F">
        <w:rPr>
          <w:sz w:val="22"/>
          <w:szCs w:val="22"/>
          <w:lang w:val="en-GB" w:eastAsia="ro-RO"/>
        </w:rPr>
        <w:t xml:space="preserve">is valid only for the </w:t>
      </w:r>
      <w:r w:rsidR="007510DE">
        <w:rPr>
          <w:sz w:val="22"/>
          <w:szCs w:val="22"/>
          <w:lang w:val="en-GB" w:eastAsia="ro-RO"/>
        </w:rPr>
        <w:t>OGMS</w:t>
      </w:r>
      <w:r w:rsidRPr="00FE7E6F">
        <w:rPr>
          <w:sz w:val="22"/>
          <w:szCs w:val="22"/>
          <w:lang w:val="en-GB" w:eastAsia="ro-RO"/>
        </w:rPr>
        <w:t xml:space="preserve"> it was </w:t>
      </w:r>
      <w:r w:rsidR="00692F89">
        <w:rPr>
          <w:sz w:val="22"/>
          <w:szCs w:val="22"/>
          <w:lang w:val="en-GB" w:eastAsia="ro-RO"/>
        </w:rPr>
        <w:t>issued</w:t>
      </w:r>
      <w:r w:rsidRPr="00FE7E6F" w:rsidR="00692F89">
        <w:rPr>
          <w:sz w:val="22"/>
          <w:szCs w:val="22"/>
          <w:lang w:val="en-GB" w:eastAsia="ro-RO"/>
        </w:rPr>
        <w:t xml:space="preserve"> </w:t>
      </w:r>
      <w:r w:rsidRPr="00FE7E6F">
        <w:rPr>
          <w:sz w:val="22"/>
          <w:szCs w:val="22"/>
          <w:lang w:val="en-GB" w:eastAsia="ro-RO"/>
        </w:rPr>
        <w:t xml:space="preserve">for, and the representative has the obligation to vote in accordance with the instructions given by the appointing shareholder under the sanction of cancellation of the vote by the </w:t>
      </w:r>
      <w:r w:rsidR="007510DE">
        <w:rPr>
          <w:sz w:val="22"/>
          <w:szCs w:val="22"/>
          <w:lang w:val="en-GB" w:eastAsia="ro-RO"/>
        </w:rPr>
        <w:t>OGMS</w:t>
      </w:r>
      <w:r w:rsidRPr="00FE7E6F">
        <w:rPr>
          <w:sz w:val="22"/>
          <w:szCs w:val="22"/>
          <w:lang w:val="en-GB" w:eastAsia="ro-RO"/>
        </w:rPr>
        <w:t xml:space="preserve"> secretaries;</w:t>
      </w:r>
    </w:p>
    <w:p w:rsidRPr="00FE7E6F" w:rsidR="00E91B01" w:rsidP="00E91B01" w:rsidRDefault="00E91B01" w14:paraId="41F4E6D4" w14:textId="77777777">
      <w:pPr>
        <w:ind w:left="360"/>
        <w:jc w:val="both"/>
        <w:rPr>
          <w:sz w:val="22"/>
          <w:szCs w:val="22"/>
          <w:lang w:val="en-GB" w:eastAsia="ro-RO"/>
        </w:rPr>
      </w:pPr>
    </w:p>
    <w:p w:rsidRPr="008713B0" w:rsidR="00182739" w:rsidP="00182739" w:rsidRDefault="00E91B01" w14:paraId="2E91EE2E" w14:textId="69F255C6">
      <w:pPr>
        <w:numPr>
          <w:ilvl w:val="0"/>
          <w:numId w:val="1"/>
        </w:numPr>
        <w:jc w:val="both"/>
        <w:rPr>
          <w:b/>
          <w:bCs/>
          <w:sz w:val="22"/>
          <w:szCs w:val="22"/>
          <w:lang w:val="en-GB"/>
        </w:rPr>
      </w:pPr>
      <w:r w:rsidRPr="0096187D">
        <w:rPr>
          <w:b/>
          <w:bCs/>
          <w:sz w:val="22"/>
          <w:szCs w:val="22"/>
          <w:lang w:val="en-GB" w:eastAsia="ro-RO"/>
        </w:rPr>
        <w:t>the</w:t>
      </w:r>
      <w:r w:rsidRPr="00182739">
        <w:rPr>
          <w:b/>
          <w:bCs/>
          <w:sz w:val="22"/>
          <w:szCs w:val="22"/>
          <w:lang w:val="en-GB"/>
        </w:rPr>
        <w:t xml:space="preserve"> deadline for </w:t>
      </w:r>
      <w:r w:rsidRPr="00182739">
        <w:rPr>
          <w:b/>
          <w:bCs/>
          <w:sz w:val="22"/>
          <w:szCs w:val="22"/>
          <w:lang w:val="en-GB" w:eastAsia="ro-RO"/>
        </w:rPr>
        <w:t>registering</w:t>
      </w:r>
      <w:r w:rsidRPr="00182739" w:rsidDel="00876EEA">
        <w:rPr>
          <w:b/>
          <w:bCs/>
          <w:sz w:val="22"/>
          <w:szCs w:val="22"/>
          <w:lang w:val="en-GB" w:eastAsia="ro-RO"/>
        </w:rPr>
        <w:t xml:space="preserve"> </w:t>
      </w:r>
      <w:r w:rsidRPr="00182739">
        <w:rPr>
          <w:b/>
          <w:bCs/>
          <w:sz w:val="22"/>
          <w:szCs w:val="22"/>
          <w:lang w:val="en-GB" w:eastAsia="ro-RO"/>
        </w:rPr>
        <w:t xml:space="preserve">the special power of attorney </w:t>
      </w:r>
      <w:r w:rsidR="00692F89">
        <w:rPr>
          <w:b/>
          <w:bCs/>
          <w:sz w:val="22"/>
          <w:szCs w:val="22"/>
          <w:lang w:val="en-GB" w:eastAsia="ro-RO"/>
        </w:rPr>
        <w:t>with</w:t>
      </w:r>
      <w:r w:rsidRPr="00182739">
        <w:rPr>
          <w:b/>
          <w:bCs/>
          <w:sz w:val="22"/>
          <w:szCs w:val="22"/>
          <w:lang w:val="en-GB" w:eastAsia="ro-RO"/>
        </w:rPr>
        <w:t xml:space="preserve"> the Company is </w:t>
      </w:r>
      <w:bookmarkStart w:name="_Hlk154150221" w:id="3"/>
      <w:r w:rsidR="00C30CCC">
        <w:rPr>
          <w:rFonts w:cs="Arial"/>
          <w:b/>
          <w:bCs/>
          <w:sz w:val="22"/>
          <w:szCs w:val="22"/>
          <w:lang w:val="en-GB"/>
        </w:rPr>
        <w:t>25 April 2025,</w:t>
      </w:r>
      <w:r w:rsidRPr="00B43CD1" w:rsidR="00F7712E">
        <w:rPr>
          <w:rFonts w:cs="Arial"/>
          <w:b/>
          <w:bCs/>
          <w:sz w:val="22"/>
          <w:szCs w:val="22"/>
          <w:lang w:val="en-GB"/>
        </w:rPr>
        <w:t xml:space="preserve"> 1</w:t>
      </w:r>
      <w:r w:rsidR="004C4FE3">
        <w:rPr>
          <w:rFonts w:cs="Arial"/>
          <w:b/>
          <w:bCs/>
          <w:sz w:val="22"/>
          <w:szCs w:val="22"/>
          <w:lang w:val="en-GB"/>
        </w:rPr>
        <w:t>2</w:t>
      </w:r>
      <w:r w:rsidRPr="00B43CD1" w:rsidR="00F7712E">
        <w:rPr>
          <w:rFonts w:cs="Arial"/>
          <w:b/>
          <w:bCs/>
          <w:sz w:val="22"/>
          <w:szCs w:val="22"/>
          <w:lang w:val="en-GB"/>
        </w:rPr>
        <w:t xml:space="preserve">:00 </w:t>
      </w:r>
      <w:r w:rsidR="004C4FE3">
        <w:rPr>
          <w:rFonts w:cs="Arial"/>
          <w:b/>
          <w:sz w:val="22"/>
          <w:szCs w:val="22"/>
          <w:lang w:val="en-GB"/>
        </w:rPr>
        <w:t>P</w:t>
      </w:r>
      <w:r w:rsidRPr="00B43CD1" w:rsidR="00F7712E">
        <w:rPr>
          <w:rFonts w:cs="Arial"/>
          <w:b/>
          <w:sz w:val="22"/>
          <w:szCs w:val="22"/>
          <w:lang w:val="en-GB"/>
        </w:rPr>
        <w:t>M</w:t>
      </w:r>
      <w:bookmarkEnd w:id="3"/>
      <w:r w:rsidRPr="00B43CD1" w:rsidR="00F7712E">
        <w:rPr>
          <w:rFonts w:cs="Arial"/>
          <w:b/>
          <w:sz w:val="22"/>
          <w:szCs w:val="22"/>
          <w:lang w:val="en-GB"/>
        </w:rPr>
        <w:t xml:space="preserve"> </w:t>
      </w:r>
      <w:r w:rsidRPr="008713B0" w:rsidR="00182739">
        <w:rPr>
          <w:b/>
          <w:bCs/>
          <w:sz w:val="22"/>
          <w:szCs w:val="22"/>
          <w:lang w:val="en-GB"/>
        </w:rPr>
        <w:t>(Romanian time)</w:t>
      </w:r>
      <w:r w:rsidR="00B329EC">
        <w:rPr>
          <w:b/>
          <w:bCs/>
          <w:sz w:val="22"/>
          <w:szCs w:val="22"/>
          <w:lang w:val="en-GB"/>
        </w:rPr>
        <w:t>;</w:t>
      </w:r>
    </w:p>
    <w:p w:rsidRPr="00182739" w:rsidR="00E91B01" w:rsidP="00182739" w:rsidRDefault="00E91B01" w14:paraId="4A3E471E" w14:textId="2F6B2C9C">
      <w:pPr>
        <w:ind w:left="360"/>
        <w:jc w:val="both"/>
        <w:rPr>
          <w:sz w:val="22"/>
          <w:szCs w:val="22"/>
          <w:lang w:val="en-GB"/>
        </w:rPr>
      </w:pPr>
    </w:p>
    <w:p w:rsidRPr="004712D9" w:rsidR="00E91B01" w:rsidP="00E91B01" w:rsidRDefault="00E91B01" w14:paraId="523B3891" w14:textId="1420E565">
      <w:pPr>
        <w:numPr>
          <w:ilvl w:val="0"/>
          <w:numId w:val="1"/>
        </w:numPr>
        <w:jc w:val="both"/>
        <w:rPr>
          <w:sz w:val="22"/>
          <w:szCs w:val="22"/>
          <w:lang w:val="en-GB" w:eastAsia="ro-RO"/>
        </w:rPr>
      </w:pPr>
      <w:r w:rsidRPr="004712D9">
        <w:rPr>
          <w:sz w:val="22"/>
          <w:szCs w:val="22"/>
          <w:lang w:val="en-GB" w:eastAsia="ro-RO"/>
        </w:rPr>
        <w:t xml:space="preserve">is </w:t>
      </w:r>
      <w:r w:rsidRPr="004712D9" w:rsidR="00692F89">
        <w:rPr>
          <w:sz w:val="22"/>
          <w:szCs w:val="22"/>
          <w:lang w:val="en-GB" w:eastAsia="ro-RO"/>
        </w:rPr>
        <w:t xml:space="preserve">executed </w:t>
      </w:r>
      <w:r w:rsidRPr="004712D9">
        <w:rPr>
          <w:sz w:val="22"/>
          <w:szCs w:val="22"/>
          <w:lang w:val="en-GB" w:eastAsia="ro-RO"/>
        </w:rPr>
        <w:t>in 3 originals: one original is for the principal</w:t>
      </w:r>
      <w:r w:rsidRPr="004712D9" w:rsidR="00A56F66">
        <w:rPr>
          <w:sz w:val="22"/>
          <w:szCs w:val="22"/>
          <w:lang w:val="en-GB" w:eastAsia="ro-RO"/>
        </w:rPr>
        <w:t xml:space="preserve"> shareholder</w:t>
      </w:r>
      <w:r w:rsidRPr="004712D9">
        <w:rPr>
          <w:sz w:val="22"/>
          <w:szCs w:val="22"/>
          <w:lang w:val="en-GB" w:eastAsia="ro-RO"/>
        </w:rPr>
        <w:t>, one original is for the empowered person and one original will be submitted</w:t>
      </w:r>
      <w:r w:rsidRPr="004712D9" w:rsidDel="00876EEA">
        <w:rPr>
          <w:sz w:val="22"/>
          <w:szCs w:val="22"/>
          <w:lang w:val="en-GB" w:eastAsia="ro-RO"/>
        </w:rPr>
        <w:t xml:space="preserve"> </w:t>
      </w:r>
      <w:r w:rsidRPr="004712D9">
        <w:rPr>
          <w:sz w:val="22"/>
          <w:szCs w:val="22"/>
          <w:lang w:val="en-GB" w:eastAsia="ro-RO"/>
        </w:rPr>
        <w:t>to the Company’s headquarters</w:t>
      </w:r>
      <w:r w:rsidRPr="004712D9" w:rsidR="00692F89">
        <w:rPr>
          <w:sz w:val="22"/>
          <w:szCs w:val="22"/>
          <w:lang w:val="en-GB" w:eastAsia="ro-RO"/>
        </w:rPr>
        <w:t xml:space="preserve"> </w:t>
      </w:r>
      <w:r w:rsidR="002C2754">
        <w:rPr>
          <w:sz w:val="22"/>
          <w:szCs w:val="22"/>
          <w:lang w:val="en-GB" w:eastAsia="ro-RO"/>
        </w:rPr>
        <w:t xml:space="preserve">or </w:t>
      </w:r>
      <w:r w:rsidRPr="004712D9" w:rsidR="002C2754">
        <w:rPr>
          <w:sz w:val="22"/>
          <w:szCs w:val="22"/>
          <w:lang w:val="en-GB" w:eastAsia="ro-RO"/>
        </w:rPr>
        <w:t>is sent by e-mail</w:t>
      </w:r>
      <w:r w:rsidR="007E2163">
        <w:rPr>
          <w:sz w:val="22"/>
          <w:szCs w:val="22"/>
          <w:lang w:val="en-GB" w:eastAsia="ro-RO"/>
        </w:rPr>
        <w:t>,</w:t>
      </w:r>
      <w:r w:rsidR="002C2754">
        <w:rPr>
          <w:sz w:val="22"/>
          <w:szCs w:val="22"/>
          <w:lang w:val="en-GB" w:eastAsia="ro-RO"/>
        </w:rPr>
        <w:t xml:space="preserve"> </w:t>
      </w:r>
      <w:r w:rsidRPr="005E1B34" w:rsidR="002C2754">
        <w:rPr>
          <w:rFonts w:cs="Arial"/>
          <w:sz w:val="22"/>
          <w:szCs w:val="22"/>
          <w:lang w:val="en-GB"/>
        </w:rPr>
        <w:t>with qualified electronic signature as per Law no. 214/2024</w:t>
      </w:r>
      <w:r w:rsidR="000B5ABF">
        <w:rPr>
          <w:rFonts w:cs="Arial"/>
          <w:sz w:val="22"/>
          <w:szCs w:val="22"/>
          <w:lang w:val="en-GB"/>
        </w:rPr>
        <w:t xml:space="preserve"> </w:t>
      </w:r>
      <w:r w:rsidRPr="000B5ABF" w:rsidR="000B5ABF">
        <w:rPr>
          <w:rFonts w:cs="Arial"/>
          <w:sz w:val="22"/>
          <w:szCs w:val="22"/>
          <w:lang w:val="en-GB"/>
        </w:rPr>
        <w:t xml:space="preserve">on </w:t>
      </w:r>
      <w:r w:rsidRPr="000B5ABF" w:rsidR="000B5ABF">
        <w:rPr>
          <w:rFonts w:cs="Arial"/>
          <w:sz w:val="22"/>
          <w:szCs w:val="22"/>
        </w:rPr>
        <w:t>the use of electronic signatures, timestamps, and trust services based on them</w:t>
      </w:r>
      <w:r w:rsidR="002C2754">
        <w:rPr>
          <w:rFonts w:cs="Arial"/>
          <w:sz w:val="22"/>
          <w:szCs w:val="22"/>
          <w:lang w:val="en-GB"/>
        </w:rPr>
        <w:t>,</w:t>
      </w:r>
      <w:r w:rsidR="002C2754">
        <w:rPr>
          <w:sz w:val="22"/>
          <w:szCs w:val="22"/>
          <w:lang w:val="en-GB" w:eastAsia="ro-RO"/>
        </w:rPr>
        <w:t xml:space="preserve"> </w:t>
      </w:r>
      <w:r w:rsidRPr="004712D9" w:rsidR="002C2754">
        <w:rPr>
          <w:sz w:val="22"/>
          <w:szCs w:val="22"/>
          <w:lang w:val="en-GB" w:eastAsia="ro-RO"/>
        </w:rPr>
        <w:t>to agafp@fondulproprietatea.ro</w:t>
      </w:r>
      <w:r w:rsidRPr="004712D9">
        <w:rPr>
          <w:sz w:val="22"/>
          <w:szCs w:val="22"/>
          <w:lang w:val="en-GB" w:eastAsia="ro-RO"/>
        </w:rPr>
        <w:t>;</w:t>
      </w:r>
    </w:p>
    <w:p w:rsidRPr="00FE7E6F" w:rsidR="00E91B01" w:rsidP="00E91B01" w:rsidRDefault="00E91B01" w14:paraId="44F5F761" w14:textId="77777777">
      <w:pPr>
        <w:jc w:val="both"/>
        <w:rPr>
          <w:sz w:val="22"/>
          <w:szCs w:val="22"/>
          <w:lang w:val="en-GB" w:eastAsia="ro-RO"/>
        </w:rPr>
      </w:pPr>
    </w:p>
    <w:p w:rsidRPr="00FE7E6F" w:rsidR="00E91B01" w:rsidP="00E91B01" w:rsidRDefault="00E91B01" w14:paraId="2B2022E0" w14:textId="77777777">
      <w:pPr>
        <w:numPr>
          <w:ilvl w:val="0"/>
          <w:numId w:val="1"/>
        </w:numPr>
        <w:jc w:val="both"/>
        <w:rPr>
          <w:sz w:val="22"/>
          <w:szCs w:val="22"/>
          <w:lang w:val="en-GB" w:eastAsia="ro-RO"/>
        </w:rPr>
      </w:pPr>
      <w:r w:rsidRPr="00FE7E6F">
        <w:rPr>
          <w:sz w:val="22"/>
          <w:szCs w:val="22"/>
          <w:u w:val="single"/>
          <w:lang w:val="en-GB" w:eastAsia="ro-RO"/>
        </w:rPr>
        <w:t>shall be signed and dated by the principal shareholder; in case of collective shareholders, it shall be signed by all the collective shareholders</w:t>
      </w:r>
      <w:r w:rsidRPr="00FE7E6F">
        <w:rPr>
          <w:sz w:val="22"/>
          <w:szCs w:val="22"/>
          <w:lang w:val="en-GB" w:eastAsia="ro-RO"/>
        </w:rPr>
        <w:t>;</w:t>
      </w:r>
    </w:p>
    <w:p w:rsidRPr="00FE7E6F" w:rsidR="00E91B01" w:rsidP="00E91B01" w:rsidRDefault="00E91B01" w14:paraId="0AE6AEAA" w14:textId="77777777">
      <w:pPr>
        <w:ind w:left="360"/>
        <w:jc w:val="both"/>
        <w:rPr>
          <w:sz w:val="22"/>
          <w:szCs w:val="22"/>
          <w:lang w:val="en-GB" w:eastAsia="ro-RO"/>
        </w:rPr>
      </w:pPr>
    </w:p>
    <w:p w:rsidRPr="00FE7E6F" w:rsidR="00E91B01" w:rsidP="00E91B01" w:rsidRDefault="00E91B01" w14:paraId="4EC76794" w14:textId="77777777">
      <w:pPr>
        <w:numPr>
          <w:ilvl w:val="0"/>
          <w:numId w:val="1"/>
        </w:numPr>
        <w:jc w:val="both"/>
        <w:rPr>
          <w:sz w:val="22"/>
          <w:szCs w:val="22"/>
          <w:lang w:val="en-GB" w:eastAsia="ro-RO"/>
        </w:rPr>
      </w:pPr>
      <w:r w:rsidRPr="00FE7E6F">
        <w:rPr>
          <w:sz w:val="22"/>
          <w:szCs w:val="22"/>
          <w:lang w:val="en-GB" w:eastAsia="ro-RO"/>
        </w:rPr>
        <w:t>all the sections shall be filled in by the principal shareholder;</w:t>
      </w:r>
    </w:p>
    <w:p w:rsidRPr="00FE7E6F" w:rsidR="00E91B01" w:rsidP="00E91B01" w:rsidRDefault="00E91B01" w14:paraId="52DD7EF8" w14:textId="77777777">
      <w:pPr>
        <w:pStyle w:val="ListParagraph"/>
        <w:rPr>
          <w:sz w:val="22"/>
          <w:szCs w:val="22"/>
          <w:lang w:val="en-GB" w:eastAsia="ro-RO"/>
        </w:rPr>
      </w:pPr>
    </w:p>
    <w:p w:rsidRPr="00FE7E6F" w:rsidR="009B4FA3" w:rsidP="00E91B01" w:rsidRDefault="00E91B01" w14:paraId="4740E149" w14:textId="3D4322DC">
      <w:pPr>
        <w:numPr>
          <w:ilvl w:val="0"/>
          <w:numId w:val="1"/>
        </w:numPr>
        <w:jc w:val="both"/>
        <w:rPr>
          <w:sz w:val="22"/>
          <w:szCs w:val="22"/>
          <w:lang w:val="en-GB" w:eastAsia="ro-RO"/>
        </w:rPr>
      </w:pPr>
      <w:r w:rsidRPr="00FE7E6F">
        <w:rPr>
          <w:sz w:val="22"/>
          <w:szCs w:val="22"/>
          <w:lang w:val="en-GB" w:eastAsia="ro-RO"/>
        </w:rPr>
        <w:t>contains information according to the Constitutive Act of the Company, Law no. 31/1990</w:t>
      </w:r>
      <w:r w:rsidR="00D64C14">
        <w:rPr>
          <w:sz w:val="22"/>
          <w:szCs w:val="22"/>
          <w:lang w:val="en-GB" w:eastAsia="ro-RO"/>
        </w:rPr>
        <w:t xml:space="preserve"> </w:t>
      </w:r>
      <w:bookmarkStart w:name="_Hlk153294800" w:id="4"/>
      <w:r w:rsidR="00D64C14">
        <w:rPr>
          <w:sz w:val="22"/>
          <w:szCs w:val="22"/>
          <w:lang w:val="en-GB" w:eastAsia="ro-RO"/>
        </w:rPr>
        <w:t>on companies, republished, as amended and supplemented</w:t>
      </w:r>
      <w:bookmarkEnd w:id="4"/>
      <w:r w:rsidRPr="00FE7E6F">
        <w:rPr>
          <w:sz w:val="22"/>
          <w:szCs w:val="22"/>
          <w:lang w:val="en-GB" w:eastAsia="ro-RO"/>
        </w:rPr>
        <w:t>, Law no. 24/2017</w:t>
      </w:r>
      <w:r w:rsidR="00D64C14">
        <w:rPr>
          <w:sz w:val="22"/>
          <w:szCs w:val="22"/>
          <w:lang w:val="en-GB" w:eastAsia="ro-RO"/>
        </w:rPr>
        <w:t xml:space="preserve"> </w:t>
      </w:r>
      <w:bookmarkStart w:name="_Hlk153294809" w:id="5"/>
      <w:r w:rsidRPr="00D64C14" w:rsidR="00D64C14">
        <w:rPr>
          <w:sz w:val="22"/>
          <w:szCs w:val="22"/>
          <w:lang w:val="en-GB" w:eastAsia="ro-RO"/>
        </w:rPr>
        <w:t>on issuers of financial instruments and market operations, republished, as supplemented and amended (“</w:t>
      </w:r>
      <w:r w:rsidRPr="0096187D" w:rsidR="00D64C14">
        <w:rPr>
          <w:b/>
          <w:bCs/>
          <w:sz w:val="22"/>
          <w:szCs w:val="22"/>
          <w:lang w:val="en-GB" w:eastAsia="ro-RO"/>
        </w:rPr>
        <w:t>Issuers’ Law</w:t>
      </w:r>
      <w:r w:rsidRPr="00D64C14" w:rsidR="00D64C14">
        <w:rPr>
          <w:sz w:val="22"/>
          <w:szCs w:val="22"/>
          <w:lang w:val="en-GB" w:eastAsia="ro-RO"/>
        </w:rPr>
        <w:t>”)</w:t>
      </w:r>
      <w:r w:rsidRPr="00FE7E6F">
        <w:rPr>
          <w:sz w:val="22"/>
          <w:szCs w:val="22"/>
          <w:lang w:val="en-GB" w:eastAsia="ro-RO"/>
        </w:rPr>
        <w:t xml:space="preserve"> </w:t>
      </w:r>
      <w:bookmarkEnd w:id="5"/>
      <w:r w:rsidRPr="00FE7E6F">
        <w:rPr>
          <w:sz w:val="22"/>
          <w:szCs w:val="22"/>
          <w:lang w:val="en-GB" w:eastAsia="ro-RO"/>
        </w:rPr>
        <w:t>and FSA</w:t>
      </w:r>
      <w:r w:rsidRPr="00FE7E6F">
        <w:rPr>
          <w:sz w:val="22"/>
          <w:szCs w:val="22"/>
          <w:lang w:eastAsia="ro-RO"/>
        </w:rPr>
        <w:t xml:space="preserve"> </w:t>
      </w:r>
      <w:r w:rsidRPr="00FE7E6F">
        <w:rPr>
          <w:sz w:val="22"/>
          <w:szCs w:val="22"/>
          <w:lang w:val="en-GB" w:eastAsia="ro-RO"/>
        </w:rPr>
        <w:t>Regulation no. 5/2018</w:t>
      </w:r>
      <w:r w:rsidRPr="00D64C14" w:rsidR="00D64C14">
        <w:t xml:space="preserve"> </w:t>
      </w:r>
      <w:bookmarkStart w:name="_Hlk153294822" w:id="6"/>
      <w:r w:rsidRPr="00D64C14" w:rsidR="00D64C14">
        <w:rPr>
          <w:sz w:val="22"/>
          <w:szCs w:val="22"/>
          <w:lang w:val="en-GB" w:eastAsia="ro-RO"/>
        </w:rPr>
        <w:t>on issuers of financial instruments and market operations</w:t>
      </w:r>
      <w:bookmarkEnd w:id="6"/>
      <w:r w:rsidRPr="00FE7E6F" w:rsidR="009B4FA3">
        <w:rPr>
          <w:sz w:val="22"/>
          <w:szCs w:val="22"/>
          <w:lang w:val="en-GB" w:eastAsia="ro-RO"/>
        </w:rPr>
        <w:t>;</w:t>
      </w:r>
    </w:p>
    <w:p w:rsidRPr="00FE7E6F" w:rsidR="009B4FA3" w:rsidP="009B4FA3" w:rsidRDefault="009B4FA3" w14:paraId="1F0F9359" w14:textId="77777777">
      <w:pPr>
        <w:pStyle w:val="ListParagraph"/>
        <w:rPr>
          <w:sz w:val="22"/>
          <w:szCs w:val="22"/>
          <w:lang w:val="en-GB" w:eastAsia="ro-RO"/>
        </w:rPr>
      </w:pPr>
    </w:p>
    <w:p w:rsidRPr="00FE7E6F" w:rsidR="008C2DCA" w:rsidP="008C2DCA" w:rsidRDefault="008C2DCA" w14:paraId="3423839F" w14:textId="16EA7654">
      <w:pPr>
        <w:pStyle w:val="ListParagraph"/>
        <w:numPr>
          <w:ilvl w:val="0"/>
          <w:numId w:val="1"/>
        </w:numPr>
        <w:autoSpaceDE w:val="0"/>
        <w:autoSpaceDN w:val="0"/>
        <w:adjustRightInd w:val="0"/>
        <w:jc w:val="both"/>
        <w:rPr>
          <w:sz w:val="22"/>
          <w:szCs w:val="22"/>
          <w:lang w:val="en-GB"/>
        </w:rPr>
      </w:pPr>
      <w:r w:rsidRPr="00FE7E6F">
        <w:rPr>
          <w:sz w:val="22"/>
          <w:szCs w:val="22"/>
          <w:lang w:val="en-GB"/>
        </w:rPr>
        <w:t>for s</w:t>
      </w:r>
      <w:r w:rsidRPr="00FE7E6F" w:rsidR="00D12FE1">
        <w:rPr>
          <w:sz w:val="22"/>
          <w:szCs w:val="22"/>
          <w:lang w:val="en-GB"/>
        </w:rPr>
        <w:t>pecial powers of attorney</w:t>
      </w:r>
      <w:r w:rsidRPr="00FE7E6F">
        <w:rPr>
          <w:sz w:val="22"/>
          <w:szCs w:val="22"/>
          <w:lang w:val="en-GB"/>
        </w:rPr>
        <w:t xml:space="preserve"> sent electronically, the Company will send the shareholder a confirmation of receipt of the votes, according to the provisions of article 9</w:t>
      </w:r>
      <w:r w:rsidRPr="00FE7E6F" w:rsidR="00CA1854">
        <w:rPr>
          <w:sz w:val="22"/>
          <w:szCs w:val="22"/>
          <w:lang w:val="en-GB"/>
        </w:rPr>
        <w:t xml:space="preserve">7 </w:t>
      </w:r>
      <w:r w:rsidRPr="00FE7E6F">
        <w:rPr>
          <w:sz w:val="22"/>
          <w:szCs w:val="22"/>
          <w:lang w:val="en-GB"/>
        </w:rPr>
        <w:t>para. (2) of Issuers’ Law and of article 7 para. (1) of CE Regulation 1212/2018, in the format set out in Table 6 of Annex to the CE Regulation 1212/2018</w:t>
      </w:r>
      <w:r w:rsidRPr="00FE7E6F" w:rsidR="00D12FE1">
        <w:rPr>
          <w:sz w:val="22"/>
          <w:szCs w:val="22"/>
          <w:lang w:val="en-GB"/>
        </w:rPr>
        <w:t>;</w:t>
      </w:r>
    </w:p>
    <w:p w:rsidRPr="00FE7E6F" w:rsidR="008C2DCA" w:rsidP="008C2DCA" w:rsidRDefault="008C2DCA" w14:paraId="517D30F8" w14:textId="77777777">
      <w:pPr>
        <w:pStyle w:val="ListParagraph"/>
        <w:autoSpaceDE w:val="0"/>
        <w:autoSpaceDN w:val="0"/>
        <w:adjustRightInd w:val="0"/>
        <w:ind w:left="360"/>
        <w:jc w:val="both"/>
        <w:rPr>
          <w:sz w:val="22"/>
          <w:szCs w:val="22"/>
          <w:lang w:val="en-GB"/>
        </w:rPr>
      </w:pPr>
    </w:p>
    <w:p w:rsidRPr="00FE7E6F" w:rsidR="008C2DCA" w:rsidP="008C2DCA" w:rsidRDefault="00D12FE1" w14:paraId="4ACC7B80" w14:textId="2BF8BDED">
      <w:pPr>
        <w:pStyle w:val="ListParagraph"/>
        <w:numPr>
          <w:ilvl w:val="0"/>
          <w:numId w:val="1"/>
        </w:numPr>
        <w:autoSpaceDE w:val="0"/>
        <w:autoSpaceDN w:val="0"/>
        <w:adjustRightInd w:val="0"/>
        <w:jc w:val="both"/>
        <w:rPr>
          <w:sz w:val="22"/>
          <w:szCs w:val="22"/>
          <w:lang w:val="en-GB"/>
        </w:rPr>
      </w:pPr>
      <w:r w:rsidRPr="00FE7E6F">
        <w:rPr>
          <w:sz w:val="22"/>
          <w:szCs w:val="22"/>
          <w:lang w:val="en-GB"/>
        </w:rPr>
        <w:t>a</w:t>
      </w:r>
      <w:r w:rsidRPr="00FE7E6F" w:rsidR="008C2DCA">
        <w:rPr>
          <w:sz w:val="22"/>
          <w:szCs w:val="22"/>
          <w:lang w:val="en-GB"/>
        </w:rPr>
        <w:t xml:space="preserve">fter the </w:t>
      </w:r>
      <w:r w:rsidR="007510DE">
        <w:rPr>
          <w:sz w:val="22"/>
          <w:szCs w:val="22"/>
          <w:lang w:val="en-GB"/>
        </w:rPr>
        <w:t>OGMS</w:t>
      </w:r>
      <w:r w:rsidRPr="00FE7E6F" w:rsidR="008C2DCA">
        <w:rPr>
          <w:sz w:val="22"/>
          <w:szCs w:val="22"/>
          <w:lang w:val="en-GB"/>
        </w:rPr>
        <w:t>, the shareholder o</w:t>
      </w:r>
      <w:r w:rsidR="001B19DD">
        <w:rPr>
          <w:sz w:val="22"/>
          <w:szCs w:val="22"/>
          <w:lang w:val="en-GB"/>
        </w:rPr>
        <w:t>r</w:t>
      </w:r>
      <w:r w:rsidRPr="00FE7E6F" w:rsidR="008C2DCA">
        <w:rPr>
          <w:sz w:val="22"/>
          <w:szCs w:val="22"/>
          <w:lang w:val="en-GB"/>
        </w:rPr>
        <w:t xml:space="preserve"> a third party appointed by the shareholder may obtain from the Company, at least upon request, a </w:t>
      </w:r>
      <w:r w:rsidRPr="00FE7E6F" w:rsidR="008C2DCA">
        <w:rPr>
          <w:sz w:val="22"/>
          <w:szCs w:val="22"/>
        </w:rPr>
        <w:t xml:space="preserve">confirmation of </w:t>
      </w:r>
      <w:r w:rsidRPr="00FE7E6F" w:rsidR="008C2DCA">
        <w:rPr>
          <w:sz w:val="22"/>
          <w:szCs w:val="22"/>
          <w:lang w:val="en-GB"/>
        </w:rPr>
        <w:t>recording</w:t>
      </w:r>
      <w:r w:rsidRPr="00FE7E6F" w:rsidR="008C2DCA">
        <w:rPr>
          <w:sz w:val="22"/>
          <w:szCs w:val="22"/>
        </w:rPr>
        <w:t xml:space="preserve"> and counting of votes by </w:t>
      </w:r>
      <w:r w:rsidRPr="00FE7E6F" w:rsidR="008C2DCA">
        <w:rPr>
          <w:sz w:val="22"/>
          <w:szCs w:val="22"/>
          <w:lang w:val="en-GB"/>
        </w:rPr>
        <w:t>the Company</w:t>
      </w:r>
      <w:r w:rsidRPr="00FE7E6F" w:rsidR="008C2DCA">
        <w:rPr>
          <w:sz w:val="22"/>
          <w:szCs w:val="22"/>
        </w:rPr>
        <w:t xml:space="preserve">. Such request of such a confirmation may be asked for within one month as of the voting date. In this case, </w:t>
      </w:r>
      <w:r w:rsidRPr="00FE7E6F" w:rsidR="008C2DCA">
        <w:rPr>
          <w:sz w:val="22"/>
          <w:szCs w:val="22"/>
          <w:lang w:val="en-GB"/>
        </w:rPr>
        <w:t>the Company</w:t>
      </w:r>
      <w:r w:rsidRPr="00FE7E6F" w:rsidR="008C2DCA">
        <w:rPr>
          <w:sz w:val="22"/>
          <w:szCs w:val="22"/>
        </w:rPr>
        <w:t xml:space="preserve"> will send the shareholder an electronic confirmation of recording and counting of votes, according to the provisions of article 9</w:t>
      </w:r>
      <w:r w:rsidRPr="00FE7E6F" w:rsidR="00CA1854">
        <w:rPr>
          <w:sz w:val="22"/>
          <w:szCs w:val="22"/>
        </w:rPr>
        <w:t>7</w:t>
      </w:r>
      <w:r w:rsidRPr="00FE7E6F" w:rsidR="008C2DCA">
        <w:rPr>
          <w:sz w:val="22"/>
          <w:szCs w:val="22"/>
        </w:rPr>
        <w:t xml:space="preserve"> para. (3) of Issuers’ Law</w:t>
      </w:r>
      <w:r w:rsidRPr="00FE7E6F" w:rsidR="008C2DCA">
        <w:rPr>
          <w:iCs/>
          <w:sz w:val="22"/>
          <w:szCs w:val="22"/>
          <w:lang w:val="en-GB"/>
        </w:rPr>
        <w:t xml:space="preserve"> and of article 7 para. (2) of CE Regulation 1212/2018</w:t>
      </w:r>
      <w:r w:rsidRPr="00FE7E6F" w:rsidR="008C2DCA">
        <w:rPr>
          <w:sz w:val="22"/>
          <w:szCs w:val="22"/>
        </w:rPr>
        <w:t>, in the format set out in Table 7 of Annex to the CE Regulation 1212/2018.</w:t>
      </w:r>
    </w:p>
    <w:p w:rsidR="00FE7E6F" w:rsidP="00E91B01" w:rsidRDefault="00FE7E6F" w14:paraId="3D71F91B" w14:textId="77777777">
      <w:pPr>
        <w:jc w:val="both"/>
        <w:rPr>
          <w:sz w:val="22"/>
          <w:szCs w:val="22"/>
          <w:lang w:val="en-GB"/>
        </w:rPr>
      </w:pPr>
    </w:p>
    <w:p w:rsidRPr="00FE7E6F" w:rsidR="00E91B01" w:rsidP="00E91B01" w:rsidRDefault="00E91B01" w14:paraId="4FFA4215" w14:textId="22B7F64D">
      <w:pPr>
        <w:jc w:val="both"/>
        <w:rPr>
          <w:sz w:val="22"/>
          <w:szCs w:val="22"/>
          <w:lang w:val="en-GB"/>
        </w:rPr>
      </w:pPr>
      <w:r w:rsidRPr="00FE7E6F">
        <w:rPr>
          <w:sz w:val="22"/>
          <w:szCs w:val="22"/>
          <w:lang w:val="en-GB"/>
        </w:rPr>
        <w:t>I attach to this special power of attorney a copy of the identity card allowing my identification on the Fondul Proprietatea shareholders registry on the</w:t>
      </w:r>
      <w:r w:rsidR="00D64C14">
        <w:rPr>
          <w:sz w:val="22"/>
          <w:szCs w:val="22"/>
          <w:lang w:val="en-GB"/>
        </w:rPr>
        <w:t xml:space="preserve"> </w:t>
      </w:r>
      <w:r w:rsidR="007510DE">
        <w:rPr>
          <w:sz w:val="22"/>
          <w:szCs w:val="22"/>
          <w:lang w:val="en-GB"/>
        </w:rPr>
        <w:t>OGMS</w:t>
      </w:r>
      <w:r w:rsidRPr="00FE7E6F">
        <w:rPr>
          <w:sz w:val="22"/>
          <w:szCs w:val="22"/>
          <w:lang w:val="en-GB"/>
        </w:rPr>
        <w:t xml:space="preserve"> reference </w:t>
      </w:r>
      <w:r w:rsidRPr="001D50A5">
        <w:rPr>
          <w:sz w:val="22"/>
          <w:szCs w:val="22"/>
          <w:lang w:val="en-GB"/>
        </w:rPr>
        <w:t xml:space="preserve">date </w:t>
      </w:r>
      <w:bookmarkStart w:name="_Hlk153294888" w:id="7"/>
      <w:r w:rsidRPr="001D50A5" w:rsidR="00D64C14">
        <w:rPr>
          <w:sz w:val="22"/>
          <w:szCs w:val="22"/>
          <w:lang w:val="en-GB"/>
        </w:rPr>
        <w:t>(</w:t>
      </w:r>
      <w:r w:rsidR="00A526A1">
        <w:rPr>
          <w:b/>
          <w:bCs/>
          <w:i/>
          <w:iCs/>
          <w:sz w:val="22"/>
          <w:szCs w:val="22"/>
          <w:lang w:val="en-GB"/>
        </w:rPr>
        <w:t>1</w:t>
      </w:r>
      <w:r w:rsidR="00C30CCC">
        <w:rPr>
          <w:b/>
          <w:bCs/>
          <w:i/>
          <w:iCs/>
          <w:sz w:val="22"/>
          <w:szCs w:val="22"/>
          <w:lang w:val="en-GB"/>
        </w:rPr>
        <w:t>1 April 2025</w:t>
      </w:r>
      <w:r w:rsidRPr="001D50A5" w:rsidR="00D64C14">
        <w:rPr>
          <w:sz w:val="22"/>
          <w:szCs w:val="22"/>
          <w:lang w:val="en-GB"/>
        </w:rPr>
        <w:t>)</w:t>
      </w:r>
      <w:bookmarkEnd w:id="7"/>
      <w:r w:rsidR="00D64C14">
        <w:rPr>
          <w:sz w:val="22"/>
          <w:szCs w:val="22"/>
          <w:lang w:val="en-GB"/>
        </w:rPr>
        <w:t xml:space="preserve"> </w:t>
      </w:r>
      <w:r w:rsidRPr="00FE7E6F">
        <w:rPr>
          <w:sz w:val="22"/>
          <w:szCs w:val="22"/>
          <w:lang w:val="en-GB"/>
        </w:rPr>
        <w:t>issued by Depozitarul Central SA, and a copy of the identity card of the empowered individual (identity document or identity card for Romanian citizens or passport for foreign citizens). In case of an empowered legal person, I also attach the original or true copy of the</w:t>
      </w:r>
      <w:r w:rsidR="009A3B36">
        <w:rPr>
          <w:sz w:val="22"/>
          <w:szCs w:val="22"/>
          <w:lang w:val="en-GB"/>
        </w:rPr>
        <w:t xml:space="preserve"> up-to-date</w:t>
      </w:r>
      <w:r w:rsidRPr="00FE7E6F">
        <w:rPr>
          <w:sz w:val="22"/>
          <w:szCs w:val="22"/>
          <w:lang w:val="en-GB"/>
        </w:rPr>
        <w:t xml:space="preserve"> findings certificate issued by the Trade Registry or any other document, in original or true copy, issued by a competent authority of origin, attesting </w:t>
      </w:r>
      <w:r w:rsidRPr="00FE7E6F">
        <w:rPr>
          <w:i/>
          <w:sz w:val="22"/>
          <w:szCs w:val="22"/>
          <w:lang w:val="en-GB"/>
        </w:rPr>
        <w:t>inter alia</w:t>
      </w:r>
      <w:r w:rsidRPr="00FE7E6F">
        <w:rPr>
          <w:sz w:val="22"/>
          <w:szCs w:val="22"/>
          <w:lang w:val="en-GB"/>
        </w:rPr>
        <w:t xml:space="preserve"> the identity of the legal representative, all being no older than </w:t>
      </w:r>
      <w:r w:rsidR="00C31E18">
        <w:rPr>
          <w:sz w:val="22"/>
          <w:szCs w:val="22"/>
          <w:lang w:val="en-GB"/>
        </w:rPr>
        <w:t>twelve (</w:t>
      </w:r>
      <w:r w:rsidRPr="00FE7E6F">
        <w:rPr>
          <w:sz w:val="22"/>
          <w:szCs w:val="22"/>
          <w:lang w:val="en-GB"/>
        </w:rPr>
        <w:t>12</w:t>
      </w:r>
      <w:r w:rsidR="00C31E18">
        <w:rPr>
          <w:sz w:val="22"/>
          <w:szCs w:val="22"/>
          <w:lang w:val="en-GB"/>
        </w:rPr>
        <w:t>)</w:t>
      </w:r>
      <w:r w:rsidRPr="00FE7E6F">
        <w:rPr>
          <w:sz w:val="22"/>
          <w:szCs w:val="22"/>
          <w:lang w:val="en-GB"/>
        </w:rPr>
        <w:t xml:space="preserve"> months</w:t>
      </w:r>
      <w:r w:rsidRPr="00FE7E6F" w:rsidR="00A56F66">
        <w:rPr>
          <w:sz w:val="22"/>
          <w:szCs w:val="22"/>
          <w:lang w:val="en-GB"/>
        </w:rPr>
        <w:t xml:space="preserve"> as from the date when the </w:t>
      </w:r>
      <w:r w:rsidR="007510DE">
        <w:rPr>
          <w:sz w:val="22"/>
          <w:szCs w:val="22"/>
          <w:lang w:val="en-GB"/>
        </w:rPr>
        <w:t>OGMS</w:t>
      </w:r>
      <w:r w:rsidRPr="00FE7E6F" w:rsidR="00A56F66">
        <w:rPr>
          <w:sz w:val="22"/>
          <w:szCs w:val="22"/>
          <w:lang w:val="en-GB"/>
        </w:rPr>
        <w:t xml:space="preserve"> convening notice was published</w:t>
      </w:r>
      <w:r w:rsidR="00C31E18">
        <w:rPr>
          <w:sz w:val="22"/>
          <w:szCs w:val="22"/>
          <w:lang w:val="en-GB"/>
        </w:rPr>
        <w:t xml:space="preserve"> in the Official Gazette</w:t>
      </w:r>
      <w:r w:rsidRPr="00FE7E6F">
        <w:rPr>
          <w:sz w:val="22"/>
          <w:szCs w:val="22"/>
          <w:lang w:val="en-GB"/>
        </w:rPr>
        <w:t>.</w:t>
      </w:r>
    </w:p>
    <w:p w:rsidRPr="00FE7E6F" w:rsidR="00E91B01" w:rsidP="00E91B01" w:rsidRDefault="00E91B01" w14:paraId="4EC60C33" w14:textId="77777777">
      <w:pPr>
        <w:autoSpaceDE w:val="0"/>
        <w:autoSpaceDN w:val="0"/>
        <w:adjustRightInd w:val="0"/>
        <w:rPr>
          <w:sz w:val="22"/>
          <w:szCs w:val="22"/>
          <w:lang w:val="en-GB"/>
        </w:rPr>
      </w:pPr>
    </w:p>
    <w:p w:rsidR="008E4393" w:rsidP="00E91B01" w:rsidRDefault="008E4393" w14:paraId="4D3A4808" w14:textId="77777777">
      <w:pPr>
        <w:autoSpaceDE w:val="0"/>
        <w:autoSpaceDN w:val="0"/>
        <w:adjustRightInd w:val="0"/>
        <w:rPr>
          <w:sz w:val="22"/>
          <w:szCs w:val="22"/>
          <w:lang w:val="en-GB"/>
        </w:rPr>
      </w:pPr>
    </w:p>
    <w:p w:rsidRPr="00FE7E6F" w:rsidR="00E91B01" w:rsidP="247EFF27" w:rsidRDefault="00E91B01" w14:paraId="1ECEE1F0" w14:textId="38F29491">
      <w:pPr>
        <w:autoSpaceDE w:val="0"/>
        <w:autoSpaceDN w:val="0"/>
        <w:adjustRightInd w:val="0"/>
        <w:rPr>
          <w:sz w:val="22"/>
          <w:szCs w:val="22"/>
          <w:lang w:val="en-US"/>
        </w:rPr>
      </w:pPr>
      <w:r w:rsidRPr="247EFF27" w:rsidR="00E91B01">
        <w:rPr>
          <w:sz w:val="22"/>
          <w:szCs w:val="22"/>
          <w:lang w:val="en-US"/>
        </w:rPr>
        <w:t xml:space="preserve">The special power of attorney date: </w:t>
      </w:r>
      <w:r>
        <w:tab/>
      </w:r>
      <w:r w:rsidRPr="247EFF27" w:rsidR="00E91B01">
        <w:rPr>
          <w:sz w:val="22"/>
          <w:szCs w:val="22"/>
          <w:lang w:val="en-US"/>
        </w:rPr>
        <w:t>[</w:t>
      </w:r>
      <w:r w:rsidRPr="247EFF27" w:rsidR="00E91B01">
        <w:rPr>
          <w:sz w:val="22"/>
          <w:szCs w:val="22"/>
          <w:lang w:val="en-US"/>
        </w:rPr>
        <w:t>_____________________]</w:t>
      </w:r>
    </w:p>
    <w:p w:rsidRPr="00FE7E6F" w:rsidR="00E91B01" w:rsidP="00E91B01" w:rsidRDefault="00E91B01" w14:paraId="015F2DA4" w14:textId="77777777">
      <w:pPr>
        <w:autoSpaceDE w:val="0"/>
        <w:autoSpaceDN w:val="0"/>
        <w:adjustRightInd w:val="0"/>
        <w:jc w:val="both"/>
        <w:rPr>
          <w:sz w:val="22"/>
          <w:szCs w:val="22"/>
          <w:lang w:val="en-GB"/>
        </w:rPr>
      </w:pPr>
      <w:r w:rsidRPr="00FE7E6F">
        <w:rPr>
          <w:color w:val="808080"/>
          <w:sz w:val="22"/>
          <w:szCs w:val="22"/>
          <w:lang w:val="en-GB"/>
        </w:rPr>
        <w:t>(</w:t>
      </w:r>
      <w:r w:rsidRPr="00FE7E6F">
        <w:rPr>
          <w:b/>
          <w:color w:val="808080"/>
          <w:sz w:val="22"/>
          <w:szCs w:val="22"/>
          <w:lang w:val="en-GB"/>
        </w:rPr>
        <w:t>ATTENTION!</w:t>
      </w:r>
      <w:r w:rsidRPr="00FE7E6F">
        <w:rPr>
          <w:color w:val="808080"/>
          <w:sz w:val="22"/>
          <w:szCs w:val="22"/>
          <w:lang w:val="en-GB"/>
        </w:rPr>
        <w:t xml:space="preserve"> if the shareholder sends more than one special power of attorney consecutively, the Company shall consider that the power of attorney having a subsequent date revokes the previous power(s) of attorney).</w:t>
      </w:r>
    </w:p>
    <w:p w:rsidRPr="00FE7E6F" w:rsidR="00E91B01" w:rsidP="00E91B01" w:rsidRDefault="00E91B01" w14:paraId="3B6693EB" w14:textId="77777777">
      <w:pPr>
        <w:autoSpaceDE w:val="0"/>
        <w:autoSpaceDN w:val="0"/>
        <w:adjustRightInd w:val="0"/>
        <w:ind w:left="360"/>
        <w:rPr>
          <w:sz w:val="22"/>
          <w:szCs w:val="22"/>
          <w:lang w:val="en-GB"/>
        </w:rPr>
      </w:pPr>
    </w:p>
    <w:p w:rsidRPr="00FE7E6F" w:rsidR="00E91B01" w:rsidP="00E91B01" w:rsidRDefault="00E91B01" w14:paraId="694576B4" w14:textId="77777777">
      <w:pPr>
        <w:autoSpaceDE w:val="0"/>
        <w:autoSpaceDN w:val="0"/>
        <w:adjustRightInd w:val="0"/>
        <w:rPr>
          <w:sz w:val="22"/>
          <w:szCs w:val="22"/>
          <w:lang w:val="en-GB"/>
        </w:rPr>
      </w:pPr>
      <w:r w:rsidRPr="00FE7E6F">
        <w:rPr>
          <w:sz w:val="22"/>
          <w:szCs w:val="22"/>
          <w:lang w:val="en-GB" w:eastAsia="ro-RO"/>
        </w:rPr>
        <w:t>First and last name</w:t>
      </w:r>
      <w:r w:rsidRPr="00FE7E6F">
        <w:rPr>
          <w:sz w:val="22"/>
          <w:szCs w:val="22"/>
          <w:lang w:val="en-GB"/>
        </w:rPr>
        <w:t>: [______________________________]</w:t>
      </w:r>
    </w:p>
    <w:p w:rsidRPr="00FE7E6F" w:rsidR="00E91B01" w:rsidP="00E91B01" w:rsidRDefault="00E91B01" w14:paraId="28E7CA68" w14:textId="77777777">
      <w:pPr>
        <w:autoSpaceDE w:val="0"/>
        <w:autoSpaceDN w:val="0"/>
        <w:adjustRightInd w:val="0"/>
        <w:jc w:val="both"/>
        <w:rPr>
          <w:color w:val="808080"/>
          <w:sz w:val="22"/>
          <w:szCs w:val="22"/>
          <w:lang w:val="en-GB"/>
        </w:rPr>
      </w:pPr>
      <w:r w:rsidRPr="00FE7E6F">
        <w:rPr>
          <w:color w:val="808080"/>
          <w:sz w:val="22"/>
          <w:szCs w:val="22"/>
          <w:lang w:val="en-GB"/>
        </w:rPr>
        <w:t>(</w:t>
      </w:r>
      <w:r w:rsidRPr="00FE7E6F">
        <w:rPr>
          <w:b/>
          <w:color w:val="808080"/>
          <w:sz w:val="22"/>
          <w:szCs w:val="22"/>
          <w:lang w:val="en-GB"/>
        </w:rPr>
        <w:t>ATTENTION!</w:t>
      </w:r>
      <w:r w:rsidRPr="00FE7E6F">
        <w:rPr>
          <w:color w:val="808080"/>
          <w:sz w:val="22"/>
          <w:szCs w:val="22"/>
          <w:lang w:val="en-GB"/>
        </w:rPr>
        <w:t xml:space="preserve"> to be filled in with the first and last name of the individual shareholder, legible, in capital letters)</w:t>
      </w:r>
    </w:p>
    <w:p w:rsidRPr="00FE7E6F" w:rsidR="00E91B01" w:rsidP="00E91B01" w:rsidRDefault="00E91B01" w14:paraId="5F4CCAA6" w14:textId="77777777">
      <w:pPr>
        <w:autoSpaceDE w:val="0"/>
        <w:autoSpaceDN w:val="0"/>
        <w:adjustRightInd w:val="0"/>
        <w:rPr>
          <w:sz w:val="22"/>
          <w:szCs w:val="22"/>
          <w:lang w:val="en-GB"/>
        </w:rPr>
      </w:pPr>
    </w:p>
    <w:p w:rsidRPr="00FE7E6F" w:rsidR="005A0722" w:rsidP="005A0722" w:rsidRDefault="00E91B01" w14:paraId="47F7E55D" w14:textId="77777777">
      <w:pPr>
        <w:autoSpaceDE w:val="0"/>
        <w:autoSpaceDN w:val="0"/>
        <w:adjustRightInd w:val="0"/>
        <w:rPr>
          <w:sz w:val="22"/>
          <w:szCs w:val="22"/>
          <w:lang w:val="en-GB"/>
        </w:rPr>
      </w:pPr>
      <w:r w:rsidRPr="00FE7E6F">
        <w:rPr>
          <w:sz w:val="22"/>
          <w:szCs w:val="22"/>
          <w:lang w:val="en-GB"/>
        </w:rPr>
        <w:t>Signature:</w:t>
      </w:r>
      <w:r w:rsidRPr="00FE7E6F">
        <w:rPr>
          <w:sz w:val="22"/>
          <w:szCs w:val="22"/>
          <w:lang w:val="en-GB"/>
        </w:rPr>
        <w:tab/>
      </w:r>
      <w:r w:rsidRPr="00FE7E6F" w:rsidR="005A0722">
        <w:rPr>
          <w:sz w:val="22"/>
          <w:szCs w:val="22"/>
          <w:lang w:val="en-GB"/>
        </w:rPr>
        <w:t>[______________________________]</w:t>
      </w:r>
    </w:p>
    <w:p w:rsidRPr="00FE7E6F" w:rsidR="00E91B01" w:rsidP="00E91B01" w:rsidRDefault="00E91B01" w14:paraId="20073E77" w14:textId="0C26F0BD">
      <w:pPr>
        <w:autoSpaceDE w:val="0"/>
        <w:autoSpaceDN w:val="0"/>
        <w:adjustRightInd w:val="0"/>
        <w:rPr>
          <w:sz w:val="22"/>
          <w:szCs w:val="22"/>
          <w:lang w:val="en-GB"/>
        </w:rPr>
      </w:pPr>
    </w:p>
    <w:p w:rsidRPr="00FE7E6F" w:rsidR="00E91B01" w:rsidP="00E91B01" w:rsidRDefault="00E91B01" w14:paraId="345647DA" w14:textId="50F40DE2">
      <w:pPr>
        <w:rPr>
          <w:sz w:val="22"/>
          <w:szCs w:val="22"/>
        </w:rPr>
      </w:pPr>
      <w:r w:rsidRPr="00FE7E6F">
        <w:rPr>
          <w:color w:val="808080"/>
          <w:sz w:val="22"/>
          <w:szCs w:val="22"/>
          <w:lang w:val="en-GB"/>
        </w:rPr>
        <w:t>(</w:t>
      </w:r>
      <w:r w:rsidRPr="00FE7E6F">
        <w:rPr>
          <w:b/>
          <w:color w:val="808080"/>
          <w:sz w:val="22"/>
          <w:szCs w:val="22"/>
          <w:lang w:val="en-GB"/>
        </w:rPr>
        <w:t>ATTENTION!</w:t>
      </w:r>
      <w:r w:rsidRPr="00FE7E6F">
        <w:rPr>
          <w:color w:val="808080"/>
          <w:sz w:val="22"/>
          <w:szCs w:val="22"/>
          <w:lang w:val="en-GB"/>
        </w:rPr>
        <w:t xml:space="preserve"> In case of collective shareholders, it will be signed by all the shareholders)</w:t>
      </w:r>
    </w:p>
    <w:sectPr w:rsidRPr="00FE7E6F" w:rsidR="00E91B01" w:rsidSect="004732EE">
      <w:footerReference w:type="default" r:id="rId11"/>
      <w:pgSz w:w="11906" w:h="16838" w:orient="portrait"/>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6C12" w:rsidP="00CB0459" w:rsidRDefault="00DA6C12" w14:paraId="66524930" w14:textId="77777777">
      <w:r>
        <w:separator/>
      </w:r>
    </w:p>
  </w:endnote>
  <w:endnote w:type="continuationSeparator" w:id="0">
    <w:p w:rsidR="00DA6C12" w:rsidP="00CB0459" w:rsidRDefault="00DA6C12" w14:paraId="7A9B4D47" w14:textId="77777777">
      <w:r>
        <w:continuationSeparator/>
      </w:r>
    </w:p>
  </w:endnote>
  <w:endnote w:type="continuationNotice" w:id="1">
    <w:p w:rsidR="00DA6C12" w:rsidRDefault="00DA6C12" w14:paraId="5333FAD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96221"/>
      <w:docPartObj>
        <w:docPartGallery w:val="Page Numbers (Bottom of Page)"/>
        <w:docPartUnique/>
      </w:docPartObj>
    </w:sdtPr>
    <w:sdtEndPr>
      <w:rPr>
        <w:noProof/>
        <w:sz w:val="20"/>
        <w:szCs w:val="20"/>
      </w:rPr>
    </w:sdtEndPr>
    <w:sdtContent>
      <w:p w:rsidRPr="00CB0459" w:rsidR="00CB0459" w:rsidRDefault="00CB0459" w14:paraId="3389B9D2" w14:textId="3606DD17">
        <w:pPr>
          <w:pStyle w:val="Footer"/>
          <w:jc w:val="center"/>
          <w:rPr>
            <w:sz w:val="20"/>
            <w:szCs w:val="20"/>
          </w:rPr>
        </w:pPr>
        <w:r w:rsidRPr="00CB0459">
          <w:rPr>
            <w:sz w:val="20"/>
            <w:szCs w:val="20"/>
          </w:rPr>
          <w:fldChar w:fldCharType="begin"/>
        </w:r>
        <w:r w:rsidRPr="00CB0459">
          <w:rPr>
            <w:sz w:val="20"/>
            <w:szCs w:val="20"/>
          </w:rPr>
          <w:instrText xml:space="preserve"> PAGE   \* MERGEFORMAT </w:instrText>
        </w:r>
        <w:r w:rsidRPr="00CB0459">
          <w:rPr>
            <w:sz w:val="20"/>
            <w:szCs w:val="20"/>
          </w:rPr>
          <w:fldChar w:fldCharType="separate"/>
        </w:r>
        <w:r w:rsidR="006C1E97">
          <w:rPr>
            <w:noProof/>
            <w:sz w:val="20"/>
            <w:szCs w:val="20"/>
          </w:rPr>
          <w:t>2</w:t>
        </w:r>
        <w:r w:rsidRPr="00CB0459">
          <w:rPr>
            <w:noProof/>
            <w:sz w:val="20"/>
            <w:szCs w:val="20"/>
          </w:rPr>
          <w:fldChar w:fldCharType="end"/>
        </w:r>
      </w:p>
    </w:sdtContent>
  </w:sdt>
  <w:p w:rsidR="00CB0459" w:rsidRDefault="00CB0459" w14:paraId="57D8D9A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6C12" w:rsidP="00CB0459" w:rsidRDefault="00DA6C12" w14:paraId="3E10B2B9" w14:textId="77777777">
      <w:r>
        <w:separator/>
      </w:r>
    </w:p>
  </w:footnote>
  <w:footnote w:type="continuationSeparator" w:id="0">
    <w:p w:rsidR="00DA6C12" w:rsidP="00CB0459" w:rsidRDefault="00DA6C12" w14:paraId="5B23C708" w14:textId="77777777">
      <w:r>
        <w:continuationSeparator/>
      </w:r>
    </w:p>
  </w:footnote>
  <w:footnote w:type="continuationNotice" w:id="1">
    <w:p w:rsidR="00DA6C12" w:rsidRDefault="00DA6C12" w14:paraId="76FCCCD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61904"/>
    <w:multiLevelType w:val="hybridMultilevel"/>
    <w:tmpl w:val="112C0594"/>
    <w:lvl w:ilvl="0" w:tplc="46C455A8">
      <w:start w:val="1"/>
      <w:numFmt w:val="lowerLetter"/>
      <w:lvlText w:val="%1)"/>
      <w:lvlJc w:val="left"/>
      <w:pPr>
        <w:ind w:left="1080" w:hanging="360"/>
      </w:pPr>
      <w:rPr>
        <w:rFonts w:hint="default"/>
        <w:b w:val="0"/>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FE5E5D"/>
    <w:multiLevelType w:val="hybridMultilevel"/>
    <w:tmpl w:val="D5EA0DA8"/>
    <w:lvl w:ilvl="0" w:tplc="9EB631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A2D32"/>
    <w:multiLevelType w:val="hybridMultilevel"/>
    <w:tmpl w:val="3F1EB59E"/>
    <w:lvl w:ilvl="0" w:tplc="F9003824">
      <w:start w:val="1"/>
      <w:numFmt w:val="bullet"/>
      <w:lvlText w:val="-"/>
      <w:lvlJc w:val="left"/>
      <w:pPr>
        <w:ind w:left="1080" w:hanging="360"/>
      </w:pPr>
      <w:rPr>
        <w:rFonts w:hint="default" w:ascii="Arial" w:hAnsi="Arial" w:eastAsia="Times New Roman"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14F1065C"/>
    <w:multiLevelType w:val="multilevel"/>
    <w:tmpl w:val="2A28B258"/>
    <w:lvl w:ilvl="0">
      <w:start w:val="6"/>
      <w:numFmt w:val="decimal"/>
      <w:lvlText w:val="%1."/>
      <w:lvlJc w:val="left"/>
      <w:pPr>
        <w:ind w:left="720" w:hanging="360"/>
      </w:pPr>
      <w:rPr>
        <w:rFonts w:hint="default"/>
        <w:b/>
        <w:bCs/>
        <w:i w:val="0"/>
        <w:iCs/>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62413DD"/>
    <w:multiLevelType w:val="hybridMultilevel"/>
    <w:tmpl w:val="AAC4D422"/>
    <w:lvl w:ilvl="0" w:tplc="FFFFFFFF">
      <w:start w:val="1"/>
      <w:numFmt w:val="lowerLetter"/>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5" w15:restartNumberingAfterBreak="0">
    <w:nsid w:val="183904E3"/>
    <w:multiLevelType w:val="hybridMultilevel"/>
    <w:tmpl w:val="6758F7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9997E82"/>
    <w:multiLevelType w:val="multilevel"/>
    <w:tmpl w:val="05F62382"/>
    <w:lvl w:ilvl="0">
      <w:start w:val="1"/>
      <w:numFmt w:val="decimal"/>
      <w:lvlText w:val="%1."/>
      <w:lvlJc w:val="left"/>
      <w:pPr>
        <w:ind w:left="861" w:hanging="435"/>
      </w:pPr>
      <w:rPr>
        <w:rFonts w:hint="default"/>
        <w:b/>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7" w15:restartNumberingAfterBreak="0">
    <w:nsid w:val="2FCA1688"/>
    <w:multiLevelType w:val="hybridMultilevel"/>
    <w:tmpl w:val="4FE2ED66"/>
    <w:lvl w:ilvl="0" w:tplc="5196414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30C65D5E"/>
    <w:multiLevelType w:val="hybridMultilevel"/>
    <w:tmpl w:val="AAC4D422"/>
    <w:lvl w:ilvl="0" w:tplc="D06A20E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3335846"/>
    <w:multiLevelType w:val="hybridMultilevel"/>
    <w:tmpl w:val="DE10A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05072C"/>
    <w:multiLevelType w:val="hybridMultilevel"/>
    <w:tmpl w:val="F65CC89E"/>
    <w:lvl w:ilvl="0" w:tplc="E730B5C6">
      <w:start w:val="3"/>
      <w:numFmt w:val="bullet"/>
      <w:lvlText w:val="-"/>
      <w:lvlJc w:val="left"/>
      <w:pPr>
        <w:ind w:left="1080" w:hanging="360"/>
      </w:pPr>
      <w:rPr>
        <w:rFonts w:hint="default" w:ascii="Arial" w:hAnsi="Arial" w:eastAsia="Cambria"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377D6388"/>
    <w:multiLevelType w:val="hybridMultilevel"/>
    <w:tmpl w:val="AB0A2AD2"/>
    <w:lvl w:ilvl="0" w:tplc="9DFE8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D78B0"/>
    <w:multiLevelType w:val="hybridMultilevel"/>
    <w:tmpl w:val="DF008C48"/>
    <w:lvl w:ilvl="0" w:tplc="9E52511A">
      <w:numFmt w:val="bullet"/>
      <w:lvlText w:val="-"/>
      <w:lvlJc w:val="left"/>
      <w:pPr>
        <w:ind w:left="1080" w:hanging="360"/>
      </w:pPr>
      <w:rPr>
        <w:rFonts w:hint="default" w:ascii="Times New Roman" w:hAnsi="Times New Roman" w:eastAsia="Times New Roman" w:cs="Times New Roman"/>
        <w: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448900D6"/>
    <w:multiLevelType w:val="hybridMultilevel"/>
    <w:tmpl w:val="9E361E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50755E9"/>
    <w:multiLevelType w:val="hybridMultilevel"/>
    <w:tmpl w:val="FFFFFFFF"/>
    <w:lvl w:ilvl="0" w:tplc="4AA4ECF0">
      <w:start w:val="1"/>
      <w:numFmt w:val="lowerLetter"/>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75B3203"/>
    <w:multiLevelType w:val="multilevel"/>
    <w:tmpl w:val="6096DEFC"/>
    <w:name w:val="AODoc"/>
    <w:lvl w:ilvl="0">
      <w:start w:val="1"/>
      <w:numFmt w:val="none"/>
      <w:pStyle w:val="AODocTxt"/>
      <w:suff w:val="nothing"/>
      <w:lvlText w:val=""/>
      <w:lvlJc w:val="left"/>
      <w:pPr>
        <w:ind w:left="450" w:firstLine="0"/>
      </w:pPr>
    </w:lvl>
    <w:lvl w:ilvl="1">
      <w:start w:val="1"/>
      <w:numFmt w:val="none"/>
      <w:pStyle w:val="AODocTxtL1"/>
      <w:suff w:val="nothing"/>
      <w:lvlText w:val=""/>
      <w:lvlJc w:val="left"/>
      <w:pPr>
        <w:ind w:left="1170" w:firstLine="0"/>
      </w:pPr>
    </w:lvl>
    <w:lvl w:ilvl="2">
      <w:start w:val="1"/>
      <w:numFmt w:val="none"/>
      <w:pStyle w:val="AODocTxtL2"/>
      <w:suff w:val="nothing"/>
      <w:lvlText w:val=""/>
      <w:lvlJc w:val="left"/>
      <w:pPr>
        <w:ind w:left="1890" w:firstLine="0"/>
      </w:pPr>
    </w:lvl>
    <w:lvl w:ilvl="3">
      <w:start w:val="1"/>
      <w:numFmt w:val="none"/>
      <w:pStyle w:val="AODocTxtL3"/>
      <w:suff w:val="nothing"/>
      <w:lvlText w:val=""/>
      <w:lvlJc w:val="left"/>
      <w:pPr>
        <w:ind w:left="2610" w:firstLine="0"/>
      </w:pPr>
    </w:lvl>
    <w:lvl w:ilvl="4">
      <w:start w:val="1"/>
      <w:numFmt w:val="none"/>
      <w:pStyle w:val="AODocTxtL4"/>
      <w:suff w:val="nothing"/>
      <w:lvlText w:val=""/>
      <w:lvlJc w:val="left"/>
      <w:pPr>
        <w:ind w:left="3330" w:firstLine="0"/>
      </w:pPr>
    </w:lvl>
    <w:lvl w:ilvl="5">
      <w:start w:val="1"/>
      <w:numFmt w:val="none"/>
      <w:pStyle w:val="AODocTxtL5"/>
      <w:suff w:val="nothing"/>
      <w:lvlText w:val=""/>
      <w:lvlJc w:val="left"/>
      <w:pPr>
        <w:ind w:left="4050" w:firstLine="0"/>
      </w:pPr>
    </w:lvl>
    <w:lvl w:ilvl="6">
      <w:start w:val="1"/>
      <w:numFmt w:val="none"/>
      <w:pStyle w:val="AODocTxtL6"/>
      <w:suff w:val="nothing"/>
      <w:lvlText w:val=""/>
      <w:lvlJc w:val="left"/>
      <w:pPr>
        <w:ind w:left="4770" w:firstLine="0"/>
      </w:pPr>
    </w:lvl>
    <w:lvl w:ilvl="7">
      <w:start w:val="1"/>
      <w:numFmt w:val="none"/>
      <w:pStyle w:val="AODocTxtL7"/>
      <w:suff w:val="nothing"/>
      <w:lvlText w:val=""/>
      <w:lvlJc w:val="left"/>
      <w:pPr>
        <w:ind w:left="5490" w:firstLine="0"/>
      </w:pPr>
    </w:lvl>
    <w:lvl w:ilvl="8">
      <w:start w:val="1"/>
      <w:numFmt w:val="none"/>
      <w:pStyle w:val="AODocTxtL8"/>
      <w:suff w:val="nothing"/>
      <w:lvlText w:val=""/>
      <w:lvlJc w:val="left"/>
      <w:pPr>
        <w:ind w:left="6210" w:firstLine="0"/>
      </w:pPr>
    </w:lvl>
  </w:abstractNum>
  <w:abstractNum w:abstractNumId="1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539E1BC9"/>
    <w:multiLevelType w:val="hybridMultilevel"/>
    <w:tmpl w:val="F2462DCA"/>
    <w:lvl w:ilvl="0" w:tplc="845E9FC6">
      <w:start w:val="1"/>
      <w:numFmt w:val="lowerRoman"/>
      <w:lvlText w:val="(%1)"/>
      <w:lvlJc w:val="left"/>
      <w:pPr>
        <w:ind w:left="1581" w:hanging="720"/>
      </w:pPr>
    </w:lvl>
    <w:lvl w:ilvl="1" w:tplc="04090019">
      <w:start w:val="1"/>
      <w:numFmt w:val="lowerLetter"/>
      <w:lvlText w:val="%2."/>
      <w:lvlJc w:val="left"/>
      <w:pPr>
        <w:ind w:left="1941" w:hanging="360"/>
      </w:pPr>
    </w:lvl>
    <w:lvl w:ilvl="2" w:tplc="0409001B">
      <w:start w:val="1"/>
      <w:numFmt w:val="lowerRoman"/>
      <w:lvlText w:val="%3."/>
      <w:lvlJc w:val="right"/>
      <w:pPr>
        <w:ind w:left="2661" w:hanging="180"/>
      </w:pPr>
    </w:lvl>
    <w:lvl w:ilvl="3" w:tplc="0409000F">
      <w:start w:val="1"/>
      <w:numFmt w:val="decimal"/>
      <w:lvlText w:val="%4."/>
      <w:lvlJc w:val="left"/>
      <w:pPr>
        <w:ind w:left="3381" w:hanging="360"/>
      </w:pPr>
    </w:lvl>
    <w:lvl w:ilvl="4" w:tplc="04090019">
      <w:start w:val="1"/>
      <w:numFmt w:val="lowerLetter"/>
      <w:lvlText w:val="%5."/>
      <w:lvlJc w:val="left"/>
      <w:pPr>
        <w:ind w:left="4101" w:hanging="360"/>
      </w:pPr>
    </w:lvl>
    <w:lvl w:ilvl="5" w:tplc="0409001B">
      <w:start w:val="1"/>
      <w:numFmt w:val="lowerRoman"/>
      <w:lvlText w:val="%6."/>
      <w:lvlJc w:val="right"/>
      <w:pPr>
        <w:ind w:left="4821" w:hanging="180"/>
      </w:pPr>
    </w:lvl>
    <w:lvl w:ilvl="6" w:tplc="0409000F">
      <w:start w:val="1"/>
      <w:numFmt w:val="decimal"/>
      <w:lvlText w:val="%7."/>
      <w:lvlJc w:val="left"/>
      <w:pPr>
        <w:ind w:left="5541" w:hanging="360"/>
      </w:pPr>
    </w:lvl>
    <w:lvl w:ilvl="7" w:tplc="04090019">
      <w:start w:val="1"/>
      <w:numFmt w:val="lowerLetter"/>
      <w:lvlText w:val="%8."/>
      <w:lvlJc w:val="left"/>
      <w:pPr>
        <w:ind w:left="6261" w:hanging="360"/>
      </w:pPr>
    </w:lvl>
    <w:lvl w:ilvl="8" w:tplc="0409001B">
      <w:start w:val="1"/>
      <w:numFmt w:val="lowerRoman"/>
      <w:lvlText w:val="%9."/>
      <w:lvlJc w:val="right"/>
      <w:pPr>
        <w:ind w:left="6981" w:hanging="180"/>
      </w:pPr>
    </w:lvl>
  </w:abstractNum>
  <w:abstractNum w:abstractNumId="18" w15:restartNumberingAfterBreak="0">
    <w:nsid w:val="53A53696"/>
    <w:multiLevelType w:val="hybridMultilevel"/>
    <w:tmpl w:val="A2AAF0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E343930"/>
    <w:multiLevelType w:val="hybridMultilevel"/>
    <w:tmpl w:val="C9AA004A"/>
    <w:lvl w:ilvl="0" w:tplc="85602252">
      <w:start w:val="1"/>
      <w:numFmt w:val="decimal"/>
      <w:lvlText w:val="%1."/>
      <w:lvlJc w:val="left"/>
      <w:pPr>
        <w:ind w:left="861" w:hanging="435"/>
      </w:pPr>
      <w:rPr>
        <w:rFonts w:hint="default" w:ascii="Times New Roman" w:hAnsi="Times New Roman" w:cs="Times New Roman"/>
        <w:b/>
        <w:bCs/>
        <w:i w:val="0"/>
        <w:color w:val="auto"/>
        <w:sz w:val="22"/>
        <w:szCs w:val="22"/>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652A4000"/>
    <w:multiLevelType w:val="hybridMultilevel"/>
    <w:tmpl w:val="DE10A7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EE1BD8"/>
    <w:multiLevelType w:val="hybridMultilevel"/>
    <w:tmpl w:val="B4A6C3BA"/>
    <w:lvl w:ilvl="0" w:tplc="6700C8F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786E69AD"/>
    <w:multiLevelType w:val="hybridMultilevel"/>
    <w:tmpl w:val="988CCD12"/>
    <w:lvl w:ilvl="0" w:tplc="D3C020C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E418CC"/>
    <w:multiLevelType w:val="hybridMultilevel"/>
    <w:tmpl w:val="D6BA3062"/>
    <w:lvl w:ilvl="0" w:tplc="C29C80E2">
      <w:numFmt w:val="bullet"/>
      <w:lvlText w:val="-"/>
      <w:lvlJc w:val="left"/>
      <w:pPr>
        <w:ind w:left="720" w:hanging="360"/>
      </w:pPr>
      <w:rPr>
        <w:rFonts w:hint="default" w:ascii="Times New Roman" w:hAnsi="Times New Roman" w:eastAsia="Times New Roman" w:cs="Times New Roman"/>
        <w: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88160994">
    <w:abstractNumId w:val="13"/>
  </w:num>
  <w:num w:numId="2" w16cid:durableId="1651791462">
    <w:abstractNumId w:val="19"/>
  </w:num>
  <w:num w:numId="3" w16cid:durableId="213536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515774">
    <w:abstractNumId w:val="21"/>
  </w:num>
  <w:num w:numId="5" w16cid:durableId="1033383297">
    <w:abstractNumId w:val="23"/>
  </w:num>
  <w:num w:numId="6" w16cid:durableId="74788475">
    <w:abstractNumId w:val="10"/>
  </w:num>
  <w:num w:numId="7" w16cid:durableId="307436818">
    <w:abstractNumId w:val="7"/>
  </w:num>
  <w:num w:numId="8" w16cid:durableId="477498943">
    <w:abstractNumId w:val="22"/>
  </w:num>
  <w:num w:numId="9" w16cid:durableId="778795018">
    <w:abstractNumId w:val="15"/>
  </w:num>
  <w:num w:numId="10" w16cid:durableId="91124318">
    <w:abstractNumId w:val="16"/>
  </w:num>
  <w:num w:numId="11" w16cid:durableId="490945049">
    <w:abstractNumId w:val="8"/>
  </w:num>
  <w:num w:numId="12" w16cid:durableId="433206775">
    <w:abstractNumId w:val="6"/>
  </w:num>
  <w:num w:numId="13" w16cid:durableId="2114855709">
    <w:abstractNumId w:val="0"/>
  </w:num>
  <w:num w:numId="14" w16cid:durableId="1490436440">
    <w:abstractNumId w:val="2"/>
  </w:num>
  <w:num w:numId="15" w16cid:durableId="3869614">
    <w:abstractNumId w:val="17"/>
  </w:num>
  <w:num w:numId="16" w16cid:durableId="1178694753">
    <w:abstractNumId w:val="4"/>
  </w:num>
  <w:num w:numId="17" w16cid:durableId="1054813829">
    <w:abstractNumId w:val="12"/>
  </w:num>
  <w:num w:numId="18" w16cid:durableId="1652831439">
    <w:abstractNumId w:val="5"/>
  </w:num>
  <w:num w:numId="19" w16cid:durableId="1389456743">
    <w:abstractNumId w:val="18"/>
  </w:num>
  <w:num w:numId="20" w16cid:durableId="1029767285">
    <w:abstractNumId w:val="9"/>
  </w:num>
  <w:num w:numId="21" w16cid:durableId="2036734952">
    <w:abstractNumId w:val="20"/>
  </w:num>
  <w:num w:numId="22" w16cid:durableId="292442339">
    <w:abstractNumId w:val="3"/>
  </w:num>
  <w:num w:numId="23" w16cid:durableId="723256069">
    <w:abstractNumId w:val="14"/>
  </w:num>
  <w:num w:numId="24" w16cid:durableId="1039286123">
    <w:abstractNumId w:val="11"/>
  </w:num>
  <w:num w:numId="25" w16cid:durableId="341054878">
    <w:abstractNumId w:val="1"/>
  </w:num>
  <w:num w:numId="26" w16cid:durableId="13464443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20016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01"/>
    <w:rsid w:val="00040C4C"/>
    <w:rsid w:val="0005243F"/>
    <w:rsid w:val="00062767"/>
    <w:rsid w:val="00063392"/>
    <w:rsid w:val="00071D89"/>
    <w:rsid w:val="0009339F"/>
    <w:rsid w:val="00093D0E"/>
    <w:rsid w:val="00097DDD"/>
    <w:rsid w:val="000A293A"/>
    <w:rsid w:val="000A68C2"/>
    <w:rsid w:val="000B5ABF"/>
    <w:rsid w:val="001023CC"/>
    <w:rsid w:val="00125AB7"/>
    <w:rsid w:val="0017439F"/>
    <w:rsid w:val="00182739"/>
    <w:rsid w:val="00197B9F"/>
    <w:rsid w:val="001B19DD"/>
    <w:rsid w:val="001C3274"/>
    <w:rsid w:val="001C4699"/>
    <w:rsid w:val="001D460A"/>
    <w:rsid w:val="001D50A5"/>
    <w:rsid w:val="0020708B"/>
    <w:rsid w:val="00211F29"/>
    <w:rsid w:val="00232473"/>
    <w:rsid w:val="00236248"/>
    <w:rsid w:val="00237097"/>
    <w:rsid w:val="002479AC"/>
    <w:rsid w:val="00272C24"/>
    <w:rsid w:val="00287154"/>
    <w:rsid w:val="00297D10"/>
    <w:rsid w:val="002B1556"/>
    <w:rsid w:val="002B2E2A"/>
    <w:rsid w:val="002C2754"/>
    <w:rsid w:val="002D6B67"/>
    <w:rsid w:val="002F1506"/>
    <w:rsid w:val="002F2BA1"/>
    <w:rsid w:val="002F2C28"/>
    <w:rsid w:val="003137E6"/>
    <w:rsid w:val="003204DE"/>
    <w:rsid w:val="00324EBA"/>
    <w:rsid w:val="0032503A"/>
    <w:rsid w:val="00333EC7"/>
    <w:rsid w:val="00337303"/>
    <w:rsid w:val="00342C1F"/>
    <w:rsid w:val="00343074"/>
    <w:rsid w:val="00345CCA"/>
    <w:rsid w:val="00353E17"/>
    <w:rsid w:val="00354B10"/>
    <w:rsid w:val="0035739B"/>
    <w:rsid w:val="003657D3"/>
    <w:rsid w:val="00366A49"/>
    <w:rsid w:val="00373614"/>
    <w:rsid w:val="00387953"/>
    <w:rsid w:val="00391127"/>
    <w:rsid w:val="003913F3"/>
    <w:rsid w:val="00393D74"/>
    <w:rsid w:val="003949D8"/>
    <w:rsid w:val="003A7358"/>
    <w:rsid w:val="003C2459"/>
    <w:rsid w:val="003D5BCE"/>
    <w:rsid w:val="003F1245"/>
    <w:rsid w:val="00413709"/>
    <w:rsid w:val="004169FF"/>
    <w:rsid w:val="0044482D"/>
    <w:rsid w:val="00447DF1"/>
    <w:rsid w:val="004712D9"/>
    <w:rsid w:val="004732EE"/>
    <w:rsid w:val="00496301"/>
    <w:rsid w:val="004A1D61"/>
    <w:rsid w:val="004B4F90"/>
    <w:rsid w:val="004C4FE3"/>
    <w:rsid w:val="004D16AF"/>
    <w:rsid w:val="004D1DF2"/>
    <w:rsid w:val="004D6A72"/>
    <w:rsid w:val="004E3571"/>
    <w:rsid w:val="004F2520"/>
    <w:rsid w:val="004F4776"/>
    <w:rsid w:val="005040EB"/>
    <w:rsid w:val="00505DF9"/>
    <w:rsid w:val="00511756"/>
    <w:rsid w:val="00523D7A"/>
    <w:rsid w:val="00537300"/>
    <w:rsid w:val="00541F7A"/>
    <w:rsid w:val="00544D38"/>
    <w:rsid w:val="0056473A"/>
    <w:rsid w:val="0057012B"/>
    <w:rsid w:val="005A0722"/>
    <w:rsid w:val="005A42E8"/>
    <w:rsid w:val="005A63C4"/>
    <w:rsid w:val="005B2CB3"/>
    <w:rsid w:val="005F0700"/>
    <w:rsid w:val="005F3EA4"/>
    <w:rsid w:val="005F7366"/>
    <w:rsid w:val="00610BF9"/>
    <w:rsid w:val="00616068"/>
    <w:rsid w:val="0061784B"/>
    <w:rsid w:val="00617B97"/>
    <w:rsid w:val="00622858"/>
    <w:rsid w:val="00640FC4"/>
    <w:rsid w:val="00646F82"/>
    <w:rsid w:val="00670F25"/>
    <w:rsid w:val="00672816"/>
    <w:rsid w:val="00673299"/>
    <w:rsid w:val="00692F89"/>
    <w:rsid w:val="00696FF4"/>
    <w:rsid w:val="00697AEF"/>
    <w:rsid w:val="006B569A"/>
    <w:rsid w:val="006C1E97"/>
    <w:rsid w:val="006C31E4"/>
    <w:rsid w:val="007510DE"/>
    <w:rsid w:val="00763406"/>
    <w:rsid w:val="00763D88"/>
    <w:rsid w:val="00781C2B"/>
    <w:rsid w:val="00796934"/>
    <w:rsid w:val="007A0E17"/>
    <w:rsid w:val="007A548F"/>
    <w:rsid w:val="007A6573"/>
    <w:rsid w:val="007B2B9D"/>
    <w:rsid w:val="007B2F5B"/>
    <w:rsid w:val="007B6127"/>
    <w:rsid w:val="007D1E10"/>
    <w:rsid w:val="007E2163"/>
    <w:rsid w:val="007F499A"/>
    <w:rsid w:val="008223D4"/>
    <w:rsid w:val="00822BF6"/>
    <w:rsid w:val="00826EDD"/>
    <w:rsid w:val="0083684D"/>
    <w:rsid w:val="00852B1C"/>
    <w:rsid w:val="00861BD8"/>
    <w:rsid w:val="00867548"/>
    <w:rsid w:val="00876BD8"/>
    <w:rsid w:val="00893118"/>
    <w:rsid w:val="008940D7"/>
    <w:rsid w:val="00897B01"/>
    <w:rsid w:val="008A47A0"/>
    <w:rsid w:val="008C2DCA"/>
    <w:rsid w:val="008E4393"/>
    <w:rsid w:val="00917E84"/>
    <w:rsid w:val="00935C23"/>
    <w:rsid w:val="009544FC"/>
    <w:rsid w:val="0096187D"/>
    <w:rsid w:val="009916B3"/>
    <w:rsid w:val="009A3B36"/>
    <w:rsid w:val="009B4FA3"/>
    <w:rsid w:val="009C2D63"/>
    <w:rsid w:val="009C58D1"/>
    <w:rsid w:val="009F7749"/>
    <w:rsid w:val="00A026C5"/>
    <w:rsid w:val="00A32BE0"/>
    <w:rsid w:val="00A526A1"/>
    <w:rsid w:val="00A545E3"/>
    <w:rsid w:val="00A56F66"/>
    <w:rsid w:val="00A878C9"/>
    <w:rsid w:val="00A91B4E"/>
    <w:rsid w:val="00A94809"/>
    <w:rsid w:val="00AA6092"/>
    <w:rsid w:val="00AB2696"/>
    <w:rsid w:val="00AB48FC"/>
    <w:rsid w:val="00AE08D0"/>
    <w:rsid w:val="00B05043"/>
    <w:rsid w:val="00B16186"/>
    <w:rsid w:val="00B2452B"/>
    <w:rsid w:val="00B32749"/>
    <w:rsid w:val="00B329EC"/>
    <w:rsid w:val="00BE47B9"/>
    <w:rsid w:val="00BF0694"/>
    <w:rsid w:val="00BF5F4E"/>
    <w:rsid w:val="00C02F2F"/>
    <w:rsid w:val="00C23030"/>
    <w:rsid w:val="00C30CCC"/>
    <w:rsid w:val="00C31E18"/>
    <w:rsid w:val="00C651EF"/>
    <w:rsid w:val="00C74569"/>
    <w:rsid w:val="00C761B1"/>
    <w:rsid w:val="00C95E1B"/>
    <w:rsid w:val="00CA16A6"/>
    <w:rsid w:val="00CA1854"/>
    <w:rsid w:val="00CB0459"/>
    <w:rsid w:val="00CC4693"/>
    <w:rsid w:val="00CD73E7"/>
    <w:rsid w:val="00CF24F5"/>
    <w:rsid w:val="00D06595"/>
    <w:rsid w:val="00D12FE1"/>
    <w:rsid w:val="00D15DEF"/>
    <w:rsid w:val="00D569E3"/>
    <w:rsid w:val="00D616B1"/>
    <w:rsid w:val="00D64C14"/>
    <w:rsid w:val="00D93167"/>
    <w:rsid w:val="00D942EA"/>
    <w:rsid w:val="00D965C9"/>
    <w:rsid w:val="00DA0284"/>
    <w:rsid w:val="00DA51E4"/>
    <w:rsid w:val="00DA6C12"/>
    <w:rsid w:val="00DA6F0A"/>
    <w:rsid w:val="00DB3426"/>
    <w:rsid w:val="00DD1BD9"/>
    <w:rsid w:val="00DD3C62"/>
    <w:rsid w:val="00E02C9C"/>
    <w:rsid w:val="00E12930"/>
    <w:rsid w:val="00E4066B"/>
    <w:rsid w:val="00E44E12"/>
    <w:rsid w:val="00E53248"/>
    <w:rsid w:val="00E56BA2"/>
    <w:rsid w:val="00E610CF"/>
    <w:rsid w:val="00E66996"/>
    <w:rsid w:val="00E7624B"/>
    <w:rsid w:val="00E91B01"/>
    <w:rsid w:val="00EB1F03"/>
    <w:rsid w:val="00ED12EE"/>
    <w:rsid w:val="00EE482A"/>
    <w:rsid w:val="00F01234"/>
    <w:rsid w:val="00F100AA"/>
    <w:rsid w:val="00F1492E"/>
    <w:rsid w:val="00F232D3"/>
    <w:rsid w:val="00F3275C"/>
    <w:rsid w:val="00F524AF"/>
    <w:rsid w:val="00F53293"/>
    <w:rsid w:val="00F655BF"/>
    <w:rsid w:val="00F7712E"/>
    <w:rsid w:val="00FA0A44"/>
    <w:rsid w:val="00FA7CF3"/>
    <w:rsid w:val="00FE6FEC"/>
    <w:rsid w:val="00FE7E6F"/>
    <w:rsid w:val="00FF1B94"/>
    <w:rsid w:val="247EFF27"/>
    <w:rsid w:val="56DE7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D65B"/>
  <w15:docId w15:val="{AC7DE67E-55C3-415E-AE04-C0AA30AE00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6934"/>
    <w:pPr>
      <w:spacing w:after="0" w:line="240" w:lineRule="auto"/>
    </w:pPr>
    <w:rPr>
      <w:rFonts w:ascii="Times New Roman" w:hAnsi="Times New Roman" w:eastAsia="Times New Roman" w:cs="Times New Roman"/>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91B01"/>
    <w:pPr>
      <w:ind w:left="720"/>
      <w:contextualSpacing/>
    </w:pPr>
  </w:style>
  <w:style w:type="paragraph" w:styleId="Header">
    <w:name w:val="header"/>
    <w:basedOn w:val="Normal"/>
    <w:link w:val="HeaderChar"/>
    <w:uiPriority w:val="99"/>
    <w:unhideWhenUsed/>
    <w:rsid w:val="00CB0459"/>
    <w:pPr>
      <w:tabs>
        <w:tab w:val="center" w:pos="4513"/>
        <w:tab w:val="right" w:pos="9026"/>
      </w:tabs>
    </w:pPr>
  </w:style>
  <w:style w:type="character" w:styleId="HeaderChar" w:customStyle="1">
    <w:name w:val="Header Char"/>
    <w:basedOn w:val="DefaultParagraphFont"/>
    <w:link w:val="Header"/>
    <w:uiPriority w:val="99"/>
    <w:rsid w:val="00CB0459"/>
    <w:rPr>
      <w:rFonts w:ascii="Times New Roman" w:hAnsi="Times New Roman" w:eastAsia="Times New Roman" w:cs="Times New Roman"/>
      <w:sz w:val="24"/>
      <w:szCs w:val="24"/>
      <w:lang w:val="en-US"/>
    </w:rPr>
  </w:style>
  <w:style w:type="paragraph" w:styleId="Footer">
    <w:name w:val="footer"/>
    <w:basedOn w:val="Normal"/>
    <w:link w:val="FooterChar"/>
    <w:uiPriority w:val="99"/>
    <w:unhideWhenUsed/>
    <w:rsid w:val="00CB0459"/>
    <w:pPr>
      <w:tabs>
        <w:tab w:val="center" w:pos="4513"/>
        <w:tab w:val="right" w:pos="9026"/>
      </w:tabs>
    </w:pPr>
  </w:style>
  <w:style w:type="character" w:styleId="FooterChar" w:customStyle="1">
    <w:name w:val="Footer Char"/>
    <w:basedOn w:val="DefaultParagraphFont"/>
    <w:link w:val="Footer"/>
    <w:uiPriority w:val="99"/>
    <w:rsid w:val="00CB0459"/>
    <w:rPr>
      <w:rFonts w:ascii="Times New Roman" w:hAnsi="Times New Roman" w:eastAsia="Times New Roman" w:cs="Times New Roman"/>
      <w:sz w:val="24"/>
      <w:szCs w:val="24"/>
      <w:lang w:val="en-US"/>
    </w:rPr>
  </w:style>
  <w:style w:type="paragraph" w:styleId="BodyText">
    <w:name w:val="Body Text"/>
    <w:basedOn w:val="Normal"/>
    <w:link w:val="BodyTextChar"/>
    <w:rsid w:val="008223D4"/>
    <w:pPr>
      <w:jc w:val="both"/>
    </w:pPr>
    <w:rPr>
      <w:rFonts w:ascii="Arial" w:hAnsi="Arial"/>
      <w:sz w:val="18"/>
      <w:szCs w:val="20"/>
    </w:rPr>
  </w:style>
  <w:style w:type="character" w:styleId="BodyTextChar" w:customStyle="1">
    <w:name w:val="Body Text Char"/>
    <w:basedOn w:val="DefaultParagraphFont"/>
    <w:link w:val="BodyText"/>
    <w:rsid w:val="008223D4"/>
    <w:rPr>
      <w:rFonts w:ascii="Arial" w:hAnsi="Arial" w:eastAsia="Times New Roman" w:cs="Times New Roman"/>
      <w:sz w:val="18"/>
      <w:szCs w:val="20"/>
      <w:lang w:val="en-US"/>
    </w:rPr>
  </w:style>
  <w:style w:type="paragraph" w:styleId="AONormal" w:customStyle="1">
    <w:name w:val="AONormal"/>
    <w:rsid w:val="00342C1F"/>
    <w:pPr>
      <w:spacing w:after="0" w:line="260" w:lineRule="atLeast"/>
    </w:pPr>
    <w:rPr>
      <w:rFonts w:ascii="Times New Roman" w:hAnsi="Times New Roman" w:eastAsia="SimSun" w:cs="Times New Roman"/>
    </w:rPr>
  </w:style>
  <w:style w:type="paragraph" w:styleId="BalloonText">
    <w:name w:val="Balloon Text"/>
    <w:basedOn w:val="Normal"/>
    <w:link w:val="BalloonTextChar"/>
    <w:uiPriority w:val="99"/>
    <w:semiHidden/>
    <w:unhideWhenUsed/>
    <w:rsid w:val="009C2D6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C2D63"/>
    <w:rPr>
      <w:rFonts w:ascii="Segoe UI" w:hAnsi="Segoe UI" w:eastAsia="Times New Roman" w:cs="Segoe UI"/>
      <w:sz w:val="18"/>
      <w:szCs w:val="18"/>
      <w:lang w:val="en-US"/>
    </w:rPr>
  </w:style>
  <w:style w:type="paragraph" w:styleId="AODocTxt" w:customStyle="1">
    <w:name w:val="AODocTxt"/>
    <w:basedOn w:val="Normal"/>
    <w:rsid w:val="00C95E1B"/>
    <w:pPr>
      <w:numPr>
        <w:numId w:val="9"/>
      </w:numPr>
      <w:spacing w:before="240" w:line="260" w:lineRule="atLeast"/>
      <w:jc w:val="both"/>
    </w:pPr>
    <w:rPr>
      <w:rFonts w:eastAsia="SimSun"/>
      <w:sz w:val="22"/>
      <w:szCs w:val="22"/>
      <w:lang w:val="en-GB"/>
    </w:rPr>
  </w:style>
  <w:style w:type="paragraph" w:styleId="AODocTxtL1" w:customStyle="1">
    <w:name w:val="AODocTxtL1"/>
    <w:basedOn w:val="AODocTxt"/>
    <w:rsid w:val="00C95E1B"/>
    <w:pPr>
      <w:numPr>
        <w:ilvl w:val="1"/>
      </w:numPr>
    </w:pPr>
  </w:style>
  <w:style w:type="paragraph" w:styleId="AODocTxtL2" w:customStyle="1">
    <w:name w:val="AODocTxtL2"/>
    <w:basedOn w:val="AODocTxt"/>
    <w:rsid w:val="00C95E1B"/>
    <w:pPr>
      <w:numPr>
        <w:ilvl w:val="2"/>
      </w:numPr>
    </w:pPr>
  </w:style>
  <w:style w:type="paragraph" w:styleId="AODocTxtL3" w:customStyle="1">
    <w:name w:val="AODocTxtL3"/>
    <w:basedOn w:val="AODocTxt"/>
    <w:rsid w:val="00C95E1B"/>
    <w:pPr>
      <w:numPr>
        <w:ilvl w:val="3"/>
      </w:numPr>
    </w:pPr>
  </w:style>
  <w:style w:type="paragraph" w:styleId="AODocTxtL4" w:customStyle="1">
    <w:name w:val="AODocTxtL4"/>
    <w:basedOn w:val="AODocTxt"/>
    <w:rsid w:val="00C95E1B"/>
    <w:pPr>
      <w:numPr>
        <w:ilvl w:val="4"/>
      </w:numPr>
    </w:pPr>
  </w:style>
  <w:style w:type="paragraph" w:styleId="AODocTxtL5" w:customStyle="1">
    <w:name w:val="AODocTxtL5"/>
    <w:basedOn w:val="AODocTxt"/>
    <w:rsid w:val="00C95E1B"/>
    <w:pPr>
      <w:numPr>
        <w:ilvl w:val="5"/>
      </w:numPr>
    </w:pPr>
  </w:style>
  <w:style w:type="paragraph" w:styleId="AODocTxtL6" w:customStyle="1">
    <w:name w:val="AODocTxtL6"/>
    <w:basedOn w:val="AODocTxt"/>
    <w:rsid w:val="00C95E1B"/>
    <w:pPr>
      <w:numPr>
        <w:ilvl w:val="6"/>
      </w:numPr>
    </w:pPr>
  </w:style>
  <w:style w:type="paragraph" w:styleId="AODocTxtL7" w:customStyle="1">
    <w:name w:val="AODocTxtL7"/>
    <w:basedOn w:val="AODocTxt"/>
    <w:rsid w:val="00C95E1B"/>
    <w:pPr>
      <w:numPr>
        <w:ilvl w:val="7"/>
      </w:numPr>
    </w:pPr>
  </w:style>
  <w:style w:type="paragraph" w:styleId="AODocTxtL8" w:customStyle="1">
    <w:name w:val="AODocTxtL8"/>
    <w:basedOn w:val="AODocTxt"/>
    <w:rsid w:val="00C95E1B"/>
    <w:pPr>
      <w:numPr>
        <w:ilvl w:val="8"/>
      </w:numPr>
    </w:pPr>
  </w:style>
  <w:style w:type="paragraph" w:styleId="AOHead1" w:customStyle="1">
    <w:name w:val="AOHead1"/>
    <w:basedOn w:val="Normal"/>
    <w:next w:val="Normal"/>
    <w:rsid w:val="00C95E1B"/>
    <w:pPr>
      <w:keepNext/>
      <w:numPr>
        <w:numId w:val="10"/>
      </w:numPr>
      <w:spacing w:before="240" w:line="260" w:lineRule="atLeast"/>
      <w:jc w:val="both"/>
      <w:outlineLvl w:val="0"/>
    </w:pPr>
    <w:rPr>
      <w:rFonts w:eastAsia="SimSun"/>
      <w:b/>
      <w:caps/>
      <w:kern w:val="28"/>
      <w:sz w:val="22"/>
      <w:szCs w:val="22"/>
      <w:lang w:val="en-GB"/>
    </w:rPr>
  </w:style>
  <w:style w:type="paragraph" w:styleId="AOHead2" w:customStyle="1">
    <w:name w:val="AOHead2"/>
    <w:basedOn w:val="Normal"/>
    <w:next w:val="Normal"/>
    <w:rsid w:val="00C95E1B"/>
    <w:pPr>
      <w:keepNext/>
      <w:numPr>
        <w:ilvl w:val="1"/>
        <w:numId w:val="10"/>
      </w:numPr>
      <w:spacing w:before="240" w:line="260" w:lineRule="atLeast"/>
      <w:jc w:val="both"/>
      <w:outlineLvl w:val="1"/>
    </w:pPr>
    <w:rPr>
      <w:rFonts w:eastAsia="SimSun"/>
      <w:b/>
      <w:sz w:val="22"/>
      <w:szCs w:val="22"/>
      <w:lang w:val="en-GB"/>
    </w:rPr>
  </w:style>
  <w:style w:type="paragraph" w:styleId="AOHead3" w:customStyle="1">
    <w:name w:val="AOHead3"/>
    <w:basedOn w:val="Normal"/>
    <w:next w:val="Normal"/>
    <w:rsid w:val="00C95E1B"/>
    <w:pPr>
      <w:numPr>
        <w:ilvl w:val="2"/>
        <w:numId w:val="10"/>
      </w:numPr>
      <w:spacing w:before="240" w:line="260" w:lineRule="atLeast"/>
      <w:jc w:val="both"/>
      <w:outlineLvl w:val="2"/>
    </w:pPr>
    <w:rPr>
      <w:rFonts w:eastAsia="SimSun"/>
      <w:sz w:val="22"/>
      <w:szCs w:val="22"/>
      <w:lang w:val="en-GB"/>
    </w:rPr>
  </w:style>
  <w:style w:type="paragraph" w:styleId="AOHead4" w:customStyle="1">
    <w:name w:val="AOHead4"/>
    <w:basedOn w:val="Normal"/>
    <w:next w:val="Normal"/>
    <w:rsid w:val="00C95E1B"/>
    <w:pPr>
      <w:numPr>
        <w:ilvl w:val="3"/>
        <w:numId w:val="10"/>
      </w:numPr>
      <w:spacing w:before="240" w:line="260" w:lineRule="atLeast"/>
      <w:jc w:val="both"/>
      <w:outlineLvl w:val="3"/>
    </w:pPr>
    <w:rPr>
      <w:rFonts w:eastAsia="SimSun"/>
      <w:sz w:val="22"/>
      <w:szCs w:val="22"/>
      <w:lang w:val="en-GB"/>
    </w:rPr>
  </w:style>
  <w:style w:type="paragraph" w:styleId="AOHead5" w:customStyle="1">
    <w:name w:val="AOHead5"/>
    <w:basedOn w:val="Normal"/>
    <w:next w:val="Normal"/>
    <w:rsid w:val="00C95E1B"/>
    <w:pPr>
      <w:numPr>
        <w:ilvl w:val="4"/>
        <w:numId w:val="10"/>
      </w:numPr>
      <w:spacing w:before="240" w:line="260" w:lineRule="atLeast"/>
      <w:jc w:val="both"/>
      <w:outlineLvl w:val="4"/>
    </w:pPr>
    <w:rPr>
      <w:rFonts w:eastAsia="SimSun"/>
      <w:sz w:val="22"/>
      <w:szCs w:val="22"/>
      <w:lang w:val="en-GB"/>
    </w:rPr>
  </w:style>
  <w:style w:type="paragraph" w:styleId="AOHead6" w:customStyle="1">
    <w:name w:val="AOHead6"/>
    <w:basedOn w:val="Normal"/>
    <w:next w:val="Normal"/>
    <w:rsid w:val="00C95E1B"/>
    <w:pPr>
      <w:numPr>
        <w:ilvl w:val="5"/>
        <w:numId w:val="10"/>
      </w:numPr>
      <w:spacing w:before="240" w:line="260" w:lineRule="atLeast"/>
      <w:jc w:val="both"/>
      <w:outlineLvl w:val="5"/>
    </w:pPr>
    <w:rPr>
      <w:rFonts w:eastAsia="SimSun"/>
      <w:sz w:val="22"/>
      <w:szCs w:val="22"/>
      <w:lang w:val="en-GB"/>
    </w:rPr>
  </w:style>
  <w:style w:type="paragraph" w:styleId="xmsolistparagraph" w:customStyle="1">
    <w:name w:val="x_msolistparagraph"/>
    <w:basedOn w:val="Normal"/>
    <w:rsid w:val="00063392"/>
    <w:pPr>
      <w:spacing w:after="140" w:line="280" w:lineRule="atLeast"/>
      <w:ind w:left="720"/>
    </w:pPr>
    <w:rPr>
      <w:rFonts w:eastAsia="Calibri"/>
      <w:sz w:val="20"/>
      <w:szCs w:val="20"/>
    </w:rPr>
  </w:style>
  <w:style w:type="paragraph" w:styleId="Revision">
    <w:name w:val="Revision"/>
    <w:hidden/>
    <w:uiPriority w:val="99"/>
    <w:semiHidden/>
    <w:rsid w:val="00DB3426"/>
    <w:pPr>
      <w:spacing w:after="0" w:line="240" w:lineRule="auto"/>
    </w:pPr>
    <w:rPr>
      <w:rFonts w:ascii="Times New Roman" w:hAnsi="Times New Roman" w:eastAsia="Times New Roman" w:cs="Times New Roman"/>
      <w:sz w:val="24"/>
      <w:szCs w:val="24"/>
      <w:lang w:val="en-US"/>
    </w:rPr>
  </w:style>
  <w:style w:type="character" w:styleId="CommentReference">
    <w:name w:val="annotation reference"/>
    <w:basedOn w:val="DefaultParagraphFont"/>
    <w:uiPriority w:val="99"/>
    <w:semiHidden/>
    <w:unhideWhenUsed/>
    <w:rsid w:val="00D06595"/>
    <w:rPr>
      <w:sz w:val="16"/>
      <w:szCs w:val="16"/>
    </w:rPr>
  </w:style>
  <w:style w:type="paragraph" w:styleId="CommentText">
    <w:name w:val="annotation text"/>
    <w:basedOn w:val="Normal"/>
    <w:link w:val="CommentTextChar"/>
    <w:uiPriority w:val="99"/>
    <w:unhideWhenUsed/>
    <w:rsid w:val="00D06595"/>
    <w:rPr>
      <w:sz w:val="20"/>
      <w:szCs w:val="20"/>
    </w:rPr>
  </w:style>
  <w:style w:type="character" w:styleId="CommentTextChar" w:customStyle="1">
    <w:name w:val="Comment Text Char"/>
    <w:basedOn w:val="DefaultParagraphFont"/>
    <w:link w:val="CommentText"/>
    <w:uiPriority w:val="99"/>
    <w:rsid w:val="00D06595"/>
    <w:rPr>
      <w:rFonts w:ascii="Times New Roman" w:hAnsi="Times New Roman"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06595"/>
    <w:rPr>
      <w:b/>
      <w:bCs/>
    </w:rPr>
  </w:style>
  <w:style w:type="character" w:styleId="CommentSubjectChar" w:customStyle="1">
    <w:name w:val="Comment Subject Char"/>
    <w:basedOn w:val="CommentTextChar"/>
    <w:link w:val="CommentSubject"/>
    <w:uiPriority w:val="99"/>
    <w:semiHidden/>
    <w:rsid w:val="00D06595"/>
    <w:rPr>
      <w:rFonts w:ascii="Times New Roman" w:hAnsi="Times New Roman" w:eastAsia="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149432">
      <w:bodyDiv w:val="1"/>
      <w:marLeft w:val="0"/>
      <w:marRight w:val="0"/>
      <w:marTop w:val="0"/>
      <w:marBottom w:val="0"/>
      <w:divBdr>
        <w:top w:val="none" w:sz="0" w:space="0" w:color="auto"/>
        <w:left w:val="none" w:sz="0" w:space="0" w:color="auto"/>
        <w:bottom w:val="none" w:sz="0" w:space="0" w:color="auto"/>
        <w:right w:val="none" w:sz="0" w:space="0" w:color="auto"/>
      </w:divBdr>
    </w:div>
    <w:div w:id="1744251754">
      <w:bodyDiv w:val="1"/>
      <w:marLeft w:val="0"/>
      <w:marRight w:val="0"/>
      <w:marTop w:val="0"/>
      <w:marBottom w:val="0"/>
      <w:divBdr>
        <w:top w:val="none" w:sz="0" w:space="0" w:color="auto"/>
        <w:left w:val="none" w:sz="0" w:space="0" w:color="auto"/>
        <w:bottom w:val="none" w:sz="0" w:space="0" w:color="auto"/>
        <w:right w:val="none" w:sz="0" w:space="0" w:color="auto"/>
      </w:divBdr>
    </w:div>
    <w:div w:id="1988973047">
      <w:bodyDiv w:val="1"/>
      <w:marLeft w:val="0"/>
      <w:marRight w:val="0"/>
      <w:marTop w:val="0"/>
      <w:marBottom w:val="0"/>
      <w:divBdr>
        <w:top w:val="none" w:sz="0" w:space="0" w:color="auto"/>
        <w:left w:val="none" w:sz="0" w:space="0" w:color="auto"/>
        <w:bottom w:val="none" w:sz="0" w:space="0" w:color="auto"/>
        <w:right w:val="none" w:sz="0" w:space="0" w:color="auto"/>
      </w:divBdr>
    </w:div>
    <w:div w:id="205449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9bf85d-9655-4b5f-a5f0-28aef295819f">
      <Terms xmlns="http://schemas.microsoft.com/office/infopath/2007/PartnerControls"/>
    </lcf76f155ced4ddcb4097134ff3c332f>
    <TaxCatchAll xmlns="f1d524b2-95cc-4e42-89be-c032122d22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0DF87FFDE87B42AA51F6984B0DB51C" ma:contentTypeVersion="15" ma:contentTypeDescription="Create a new document." ma:contentTypeScope="" ma:versionID="029aa4a0d45e14b2175b5af3cf8570a7">
  <xsd:schema xmlns:xsd="http://www.w3.org/2001/XMLSchema" xmlns:xs="http://www.w3.org/2001/XMLSchema" xmlns:p="http://schemas.microsoft.com/office/2006/metadata/properties" xmlns:ns2="b79bf85d-9655-4b5f-a5f0-28aef295819f" xmlns:ns3="f1d524b2-95cc-4e42-89be-c032122d223d" targetNamespace="http://schemas.microsoft.com/office/2006/metadata/properties" ma:root="true" ma:fieldsID="c3c979aff5808eea5c384ceb49b95ed5" ns2:_="" ns3:_="">
    <xsd:import namespace="b79bf85d-9655-4b5f-a5f0-28aef295819f"/>
    <xsd:import namespace="f1d524b2-95cc-4e42-89be-c032122d22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f85d-9655-4b5f-a5f0-28aef2958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23add1-cbf3-4e1e-9a09-f3a01ff5b64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524b2-95cc-4e42-89be-c032122d22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3b3f4d-08da-45c9-8a45-9c53f85fc90e}" ma:internalName="TaxCatchAll" ma:showField="CatchAllData" ma:web="f1d524b2-95cc-4e42-89be-c032122d22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F4805-1C01-460D-BA9C-D09E8393C4AA}">
  <ds:schemaRefs>
    <ds:schemaRef ds:uri="http://schemas.microsoft.com/sharepoint/v3/contenttype/forms"/>
  </ds:schemaRefs>
</ds:datastoreItem>
</file>

<file path=customXml/itemProps2.xml><?xml version="1.0" encoding="utf-8"?>
<ds:datastoreItem xmlns:ds="http://schemas.openxmlformats.org/officeDocument/2006/customXml" ds:itemID="{299ADE55-8C64-4943-A626-335E2EB5826B}">
  <ds:schemaRefs>
    <ds:schemaRef ds:uri="http://schemas.microsoft.com/office/2006/metadata/properties"/>
    <ds:schemaRef ds:uri="http://schemas.microsoft.com/office/infopath/2007/PartnerControls"/>
    <ds:schemaRef ds:uri="b79bf85d-9655-4b5f-a5f0-28aef295819f"/>
    <ds:schemaRef ds:uri="f1d524b2-95cc-4e42-89be-c032122d223d"/>
  </ds:schemaRefs>
</ds:datastoreItem>
</file>

<file path=customXml/itemProps3.xml><?xml version="1.0" encoding="utf-8"?>
<ds:datastoreItem xmlns:ds="http://schemas.openxmlformats.org/officeDocument/2006/customXml" ds:itemID="{FE8C4A06-8E0F-4CF5-B0C9-55B54D5E8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f85d-9655-4b5f-a5f0-28aef295819f"/>
    <ds:schemaRef ds:uri="f1d524b2-95cc-4e42-89be-c032122d2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7894A-501E-4976-86A8-FEABED05BA1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Special PoA_Individuals_EGMS 21 April 2023</dc:title>
  <dc:subject>Special PoA_Individuals_EGMS</dc:subject>
  <dc:creator>Cazan, Teodora</dc:creator>
  <lastModifiedBy>Alexandra Niculae</lastModifiedBy>
  <revision>67</revision>
  <dcterms:created xsi:type="dcterms:W3CDTF">2023-09-07T14:31:00.0000000Z</dcterms:created>
  <dcterms:modified xsi:type="dcterms:W3CDTF">2025-03-19T09:12:55.3175172Z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0x0101001B0DF87FFDE87B42AA51F6984B0DB51C</vt:lpwstr>
  </property>
  <property fmtid="{D5CDD505-2E9C-101B-9397-08002B2CF9AE}" pid="3" name="MediaServiceImageTags">
    <vt:lpwstr/>
  </property>
</Properties>
</file>